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楷体" w:hAnsi="楷体" w:eastAsia="楷体"/>
          <w:color w:val="000080"/>
          <w:sz w:val="36"/>
          <w:szCs w:val="36"/>
        </w:rPr>
      </w:pPr>
      <w:bookmarkStart w:id="0" w:name="_GoBack"/>
      <w:r>
        <w:rPr>
          <w:rFonts w:hint="eastAsia" w:ascii="楷体" w:hAnsi="楷体" w:eastAsia="楷体"/>
          <w:color w:val="000080"/>
          <w:sz w:val="36"/>
          <w:szCs w:val="36"/>
        </w:rPr>
        <w:t>新消费时代  资本市场助力创新供给增量</w:t>
      </w:r>
    </w:p>
    <w:bookmarkEnd w:id="0"/>
    <w:p>
      <w:pPr>
        <w:spacing w:line="440" w:lineRule="exact"/>
        <w:jc w:val="center"/>
        <w:rPr>
          <w:rFonts w:hint="eastAsia" w:ascii="楷体" w:hAnsi="楷体" w:eastAsia="楷体"/>
          <w:color w:val="000080"/>
          <w:sz w:val="36"/>
          <w:szCs w:val="36"/>
        </w:rPr>
      </w:pPr>
    </w:p>
    <w:p>
      <w:pPr>
        <w:spacing w:line="440" w:lineRule="exact"/>
        <w:ind w:firstLine="2640" w:firstLineChars="1100"/>
        <w:rPr>
          <w:rFonts w:hint="eastAsia"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中采咨询总经理 于颖</w:t>
      </w:r>
    </w:p>
    <w:p>
      <w:pPr>
        <w:spacing w:line="440" w:lineRule="exact"/>
        <w:rPr>
          <w:rFonts w:hint="eastAsia"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我国经济正在迈过“中等收入陷阱”的窗口期，进入“新消费时代”。2019年全球需求回落、中美贸易冲突，中国经济比较稳定，但增量的实现变得愈发困难，如何挖潜增效，走出迷局？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我们认为金融供给侧改革，是创新供给体系的重要举措，发展资本市场，撬动民间资本，将助力“新消费时代”，增加创新产品和创新服务的供给，拉动消费增量。从发达国家经验看，美国近几十年来的发展，甩掉欧日，独骑绝尘，资本市场的健康壮大功不可没。</w:t>
      </w:r>
    </w:p>
    <w:p>
      <w:pPr>
        <w:spacing w:line="440" w:lineRule="exact"/>
        <w:ind w:firstLine="480" w:firstLineChars="200"/>
        <w:rPr>
          <w:rFonts w:hint="eastAsia"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如今，中国资本市场扩容正当其时。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我们建议信任资本，也信任资本的逐利性质——只要制度鼓励创新获得收益，资本就会投入创新。在过去，资本从来都表现了无以伦比的聪明，未来仍将如此。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十九世纪五十年代，PMI是美国几乎唯一的领先指标，其原因就是战后制造业在美国高速崛起；进入六七十年代，消费指数成为美国领先指标，其原因是美国已经转变为消费占比80%以上经济体；而八十年代以后，美国道指才真正成为经济领先指标，那是因为，人口增幅减缓，生活质量提升到一定水准，投资收益已经相当程度上左右了居民的消费增量，股指领先消费发生变化了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当然，在美国的今天，PMI和消费指数并没有被废弃，因为生产生活资料是人生存必须，扩张的经济必定伴随着制造和消费的扩张，但是，股指是领先于PMI和消费的。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目前，我国人口仍在中速增长，但老龄化正在加速到来，增量人口的消费对经济增量的边际贡献正逐步减弱；随着产能饱和，财政投资的效益也逐步下滑，对经济增量的边际贡献减弱；出口面临着劳动力成本上升，劳动密集型产业出口难以为继。最能贡献增量的就是技术创新和服务领域的增加值新高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我们在2018年的多篇文章中提到，金融市场目标是先健康再扩容，扩容是经济增长必由之道，不可以因噎废食。经过两年多的治理，我们看到，网贷平台的基本消失，通道业务的天量转为冰点量，穿透式监管已经渗透到了个人股票账户，风险得到了极大的控制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信任资本的逐利性质，包括允许资本得利，毕竟得利的同时还有需要资金的企业，还有需要资金的科技。</w:t>
      </w: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</w:p>
    <w:p>
      <w:pPr>
        <w:spacing w:line="440" w:lineRule="exact"/>
        <w:rPr>
          <w:rFonts w:ascii="楷体" w:hAnsi="楷体" w:eastAsia="楷体"/>
          <w:color w:val="000080"/>
          <w:sz w:val="32"/>
          <w:szCs w:val="32"/>
        </w:rPr>
      </w:pPr>
      <w:r>
        <w:rPr>
          <w:rFonts w:hint="eastAsia" w:ascii="楷体" w:hAnsi="楷体" w:eastAsia="楷体"/>
          <w:b/>
          <w:color w:val="000080"/>
          <w:sz w:val="30"/>
          <w:szCs w:val="30"/>
        </w:rPr>
        <w:t>一、</w:t>
      </w:r>
      <w:r>
        <w:rPr>
          <w:rFonts w:hint="eastAsia" w:ascii="楷体" w:hAnsi="楷体" w:eastAsia="楷体"/>
          <w:color w:val="000080"/>
          <w:sz w:val="32"/>
          <w:szCs w:val="32"/>
        </w:rPr>
        <w:t>发展资本市场，提升科技创新水平</w:t>
      </w:r>
    </w:p>
    <w:p>
      <w:pPr>
        <w:rPr>
          <w:rFonts w:hint="eastAsia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新兴产业EPMI最近表现亮眼,春节期间的数据呈现多项反季节回升，再次表明新兴产业对政策面、资金面异常敏感。最近资本市场的火热，预计将对新兴产业EPMI数据继续形成正面影响。而“新消费时代”的两大元素，科技和服务，都将受益于资本市场的兴旺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2018年前三季度，由于资本市场疲弱，叠加美国加大对中国新兴产业技术的封锁，新兴产业EPMI数据出现一定程度的趋势性回落。随着资管新规落地、央行中性货币政策出台、加大研发投入税前抵扣比例、不再追缴创投企业所得税等政策的出台，新兴产业EPMI在10月份出现反季节回升，1</w:t>
      </w:r>
      <w:r>
        <w:rPr>
          <w:rFonts w:ascii="楷体" w:hAnsi="楷体" w:eastAsia="楷体"/>
          <w:color w:val="000080"/>
          <w:sz w:val="24"/>
        </w:rPr>
        <w:t>0</w:t>
      </w:r>
      <w:r>
        <w:rPr>
          <w:rFonts w:hint="eastAsia" w:ascii="楷体" w:hAnsi="楷体" w:eastAsia="楷体"/>
          <w:color w:val="000080"/>
          <w:sz w:val="24"/>
        </w:rPr>
        <w:t>月份E</w:t>
      </w:r>
      <w:r>
        <w:rPr>
          <w:rFonts w:ascii="楷体" w:hAnsi="楷体" w:eastAsia="楷体"/>
          <w:color w:val="000080"/>
          <w:sz w:val="24"/>
        </w:rPr>
        <w:t>PMI</w:t>
      </w:r>
      <w:r>
        <w:rPr>
          <w:rFonts w:hint="eastAsia" w:ascii="楷体" w:hAnsi="楷体" w:eastAsia="楷体"/>
          <w:color w:val="000080"/>
          <w:sz w:val="24"/>
        </w:rPr>
        <w:t>为6</w:t>
      </w:r>
      <w:r>
        <w:rPr>
          <w:rFonts w:ascii="楷体" w:hAnsi="楷体" w:eastAsia="楷体"/>
          <w:color w:val="000080"/>
          <w:sz w:val="24"/>
        </w:rPr>
        <w:t>0.2</w:t>
      </w:r>
      <w:r>
        <w:rPr>
          <w:rFonts w:hint="eastAsia" w:ascii="楷体" w:hAnsi="楷体" w:eastAsia="楷体"/>
          <w:color w:val="000080"/>
          <w:sz w:val="24"/>
        </w:rPr>
        <w:t>，环比回升6</w:t>
      </w:r>
      <w:r>
        <w:rPr>
          <w:rFonts w:ascii="楷体" w:hAnsi="楷体" w:eastAsia="楷体"/>
          <w:color w:val="000080"/>
          <w:sz w:val="24"/>
        </w:rPr>
        <w:t>.3</w:t>
      </w:r>
      <w:r>
        <w:rPr>
          <w:rFonts w:hint="eastAsia" w:ascii="楷体" w:hAnsi="楷体" w:eastAsia="楷体"/>
          <w:color w:val="000080"/>
          <w:sz w:val="24"/>
        </w:rPr>
        <w:t>，同比持平。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在资本市场转暖的2019年一月之后，新兴产业EPMI2月数据（春节期间）多个正向指标出现从未有过的反季节回升，企业提前开工，预期大旺。这都反映了实体企业对政策冷暖非常敏感。我们希望这一稳定趋势在2019年得以持续，加力中国高质量增长。</w:t>
      </w:r>
    </w:p>
    <w:p>
      <w:pPr>
        <w:widowControl/>
        <w:spacing w:beforeLines="50"/>
        <w:jc w:val="center"/>
        <w:rPr>
          <w:rFonts w:ascii="楷体" w:hAnsi="楷体" w:eastAsia="楷体"/>
          <w:color w:val="000080"/>
          <w:sz w:val="24"/>
          <w:highlight w:val="yellow"/>
        </w:rPr>
      </w:pP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表1：新兴产业EPMI</w:t>
      </w:r>
      <w:r>
        <w:rPr>
          <w:rFonts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2</w:t>
      </w: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月数据</w:t>
      </w:r>
    </w:p>
    <w:tbl>
      <w:tblPr>
        <w:tblStyle w:val="5"/>
        <w:tblW w:w="4163" w:type="dxa"/>
        <w:jc w:val="center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67"/>
        <w:gridCol w:w="182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single" w:color="000000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DBE5F1" w:themeFill="accent1" w:themeFillTint="33"/>
            <w:noWrap/>
          </w:tcPr>
          <w:p>
            <w:pPr>
              <w:jc w:val="left"/>
              <w:rPr>
                <w:rFonts w:ascii="楷体" w:hAnsi="楷体" w:eastAsia="楷体"/>
                <w:b/>
                <w:bCs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color w:val="0F243E" w:themeColor="text2" w:themeShade="80"/>
                <w:kern w:val="0"/>
                <w:sz w:val="22"/>
                <w:szCs w:val="22"/>
              </w:rPr>
              <w:t>指标</w:t>
            </w:r>
          </w:p>
        </w:tc>
        <w:tc>
          <w:tcPr>
            <w:tcW w:w="1067" w:type="dxa"/>
            <w:tcBorders>
              <w:top w:val="nil"/>
              <w:bottom w:val="single" w:color="000000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DBE5F1" w:themeFill="accent1" w:themeFillTint="33"/>
            <w:noWrap/>
          </w:tcPr>
          <w:p>
            <w:pPr>
              <w:jc w:val="center"/>
              <w:rPr>
                <w:rFonts w:ascii="楷体" w:hAnsi="楷体" w:eastAsia="楷体"/>
                <w:b/>
                <w:bCs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color w:val="0F243E" w:themeColor="text2" w:themeShade="80"/>
                <w:kern w:val="0"/>
                <w:sz w:val="22"/>
                <w:szCs w:val="22"/>
              </w:rPr>
              <w:t>本月</w:t>
            </w:r>
          </w:p>
        </w:tc>
        <w:tc>
          <w:tcPr>
            <w:tcW w:w="1820" w:type="dxa"/>
            <w:tcBorders>
              <w:top w:val="nil"/>
              <w:bottom w:val="single" w:color="000000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DBE5F1" w:themeFill="accent1" w:themeFillTint="33"/>
            <w:noWrap/>
          </w:tcPr>
          <w:p>
            <w:pPr>
              <w:ind w:right="200"/>
              <w:jc w:val="center"/>
              <w:rPr>
                <w:rFonts w:ascii="楷体" w:hAnsi="楷体" w:eastAsia="楷体"/>
                <w:b/>
                <w:bCs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color w:val="0F243E" w:themeColor="text2" w:themeShade="80"/>
                <w:kern w:val="0"/>
                <w:sz w:val="22"/>
                <w:szCs w:val="22"/>
              </w:rPr>
              <w:t>本月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EPMI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48.8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比上月回落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生产量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48.8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比上月回落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产品订货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49.6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2"/>
                <w:szCs w:val="22"/>
              </w:rPr>
              <w:t>比上月微幅回落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出口订货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49.3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2"/>
                <w:szCs w:val="22"/>
              </w:rPr>
              <w:t>反季节回升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用户库存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47.8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比上月回落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采购量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49.7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2"/>
                <w:szCs w:val="22"/>
              </w:rPr>
              <w:t>反季节回升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进口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51.3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2"/>
                <w:szCs w:val="22"/>
              </w:rPr>
              <w:t>反季节回升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购进价格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52.7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2"/>
                <w:szCs w:val="22"/>
              </w:rPr>
              <w:t>反季节回升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自有库存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52.4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比上月回落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就业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46.2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2"/>
                <w:szCs w:val="22"/>
              </w:rPr>
              <w:t>反季节回升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配送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52.1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比上月回升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6" w:type="dxa"/>
            <w:shd w:val="clear" w:color="auto" w:fill="auto"/>
            <w:noWrap/>
          </w:tcPr>
          <w:p>
            <w:pPr>
              <w:jc w:val="left"/>
              <w:rPr>
                <w:rFonts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F243E" w:themeColor="text2" w:themeShade="80"/>
                <w:kern w:val="0"/>
                <w:sz w:val="22"/>
                <w:szCs w:val="22"/>
              </w:rPr>
              <w:t>研发活动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2"/>
                <w:szCs w:val="22"/>
              </w:rPr>
              <w:t>反季节回升</w:t>
            </w:r>
          </w:p>
        </w:tc>
      </w:tr>
    </w:tbl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从数据看，新兴产业EPMI与各种资金指数具有较高的相关性，如EPMI与M2、信贷和社融规模的相关性分别达到0.73、0.67和0.81。说明新兴产业的扩张严重依赖资金支持。</w:t>
      </w:r>
    </w:p>
    <w:p>
      <w:pPr>
        <w:widowControl/>
        <w:spacing w:beforeLines="50"/>
        <w:jc w:val="center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表2：新兴产业EPMI与资金指标同步率</w:t>
      </w:r>
    </w:p>
    <w:tbl>
      <w:tblPr>
        <w:tblStyle w:val="4"/>
        <w:tblW w:w="6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42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00" w:type="dxa"/>
            <w:shd w:val="clear" w:color="000000" w:fill="FF0000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指标/时滞期数/相关系数</w:t>
            </w:r>
          </w:p>
        </w:tc>
        <w:tc>
          <w:tcPr>
            <w:tcW w:w="1420" w:type="dxa"/>
            <w:shd w:val="clear" w:color="000000" w:fill="FF0000"/>
            <w:noWrap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资金指标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600" w:type="dxa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EPMI新兴---全国-PMI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M2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600" w:type="dxa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EPMI新兴---全国-PMI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信贷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600" w:type="dxa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EPMI新兴---全国-PMI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社融规模</w:t>
            </w:r>
          </w:p>
        </w:tc>
        <w:tc>
          <w:tcPr>
            <w:tcW w:w="1512" w:type="dxa"/>
            <w:shd w:val="clear" w:color="000000" w:fill="FAC090"/>
            <w:noWrap/>
            <w:vAlign w:val="center"/>
          </w:tcPr>
          <w:p>
            <w:pPr>
              <w:ind w:firstLine="422" w:firstLineChars="200"/>
              <w:rPr>
                <w:rFonts w:ascii="楷体" w:hAnsi="楷体" w:eastAsia="楷体" w:cs="宋体"/>
                <w:b/>
                <w:bCs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1F497D"/>
                <w:kern w:val="0"/>
                <w:szCs w:val="21"/>
              </w:rPr>
              <w:t>0.81</w:t>
            </w:r>
          </w:p>
        </w:tc>
      </w:tr>
    </w:tbl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此外，新兴产业EPMI与股市状况联系紧密，股市也是资金进入实体经济情况的表征。历史上，二者相互领先相关，相关系数达到0.73。缺少股市资金的支持，新兴产业的发展也会受限。</w:t>
      </w:r>
    </w:p>
    <w:p>
      <w:pPr>
        <w:widowControl/>
        <w:spacing w:beforeLines="50"/>
        <w:jc w:val="center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表3：新兴产业EPMI与上证综指关系</w:t>
      </w:r>
    </w:p>
    <w:tbl>
      <w:tblPr>
        <w:tblStyle w:val="4"/>
        <w:tblW w:w="70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276"/>
        <w:gridCol w:w="1559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EPMI指标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股指指标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领先5个月相关系数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领先6个月相关系数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EPMI新兴全国-PMI3月均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上证综指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0.73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ascii="楷体" w:hAnsi="楷体" w:eastAsia="楷体" w:cs="宋体"/>
                <w:color w:val="1F497D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1F497D"/>
                <w:kern w:val="0"/>
                <w:szCs w:val="21"/>
              </w:rPr>
              <w:t>0.86</w:t>
            </w:r>
          </w:p>
        </w:tc>
      </w:tr>
    </w:tbl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新兴产业的亮点表现在新品和科研上，无论是新品和科研投入都需要大量资金，而仅仅靠企业自身又难以持续。如新药、半导体、集成电路等都是投入巨大，需要依靠企业外的资金支持。国家政策的导向难以使财政资金进入新兴领域，因为新兴领域、新产品的机会与风险都同样巨大，创投资金是对新兴产业发展极为有利有益的补充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近年来，无人机、生物新药、太阳能、光伏等产业都获得长足发展，离不开股权创投资金的支持，离不开中国民间科技研发投资的热情与努力。在我国着力发展新兴科技，以各种方式手段促进新兴产业投资、加快科技兴国的背景下，加大政策力度支持，也是复杂贸易形势下的应有选择。</w:t>
      </w:r>
    </w:p>
    <w:p/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去年8月31日，在有关部门领导言及股权投资行业应该补税的事件中,我们为文直陈利害。从数据分析的角度指出：新兴产业的发展与资金支持密不可分，追缴税款于法应当，但支持新兴产业的创投资金可以网开一面。</w:t>
      </w:r>
      <w:r>
        <w:rPr>
          <w:rFonts w:hint="eastAsia" w:ascii="楷体" w:hAnsi="楷体" w:eastAsia="楷体"/>
          <w:b/>
          <w:color w:val="000080"/>
          <w:sz w:val="24"/>
        </w:rPr>
        <w:t>意见得到国务院支持，创投基金税款不追缴成为现实。</w:t>
      </w:r>
    </w:p>
    <w:p/>
    <w:p>
      <w:pPr>
        <w:spacing w:line="440" w:lineRule="exact"/>
        <w:ind w:firstLine="480" w:firstLineChars="200"/>
      </w:pPr>
      <w:r>
        <w:rPr>
          <w:rFonts w:hint="eastAsia" w:ascii="楷体" w:hAnsi="楷体" w:eastAsia="楷体"/>
          <w:color w:val="000080"/>
          <w:sz w:val="24"/>
        </w:rPr>
        <w:t>纳斯达克成为全球科技风向标是众所周知的，由于不要求盈利、倾向风险投资、允许同股不同权等制度，大大鼓励了创新精神与创业者。发展至今，纳斯达克容纳了多个当今世界上增长最高的公司，也代表了世界科技发展的增速，为数不多的企业支撑了纳斯达克指数，而且，不管是纳斯达克还是标普，指数成分经常更新，因此其股指水平一直代表了先进企业的增长。这一点尤其值得借鉴。科创板借鉴了纳斯达克的创新制度，完全区别于创业板和新三板，因此有望成为中国的纳斯达克。</w:t>
      </w:r>
    </w:p>
    <w:p/>
    <w:p>
      <w:pPr>
        <w:widowControl/>
        <w:spacing w:beforeLines="50"/>
        <w:jc w:val="center"/>
        <w:rPr>
          <w:rFonts w:ascii="楷体" w:hAnsi="楷体" w:eastAsia="楷体" w:cs="宋体"/>
          <w:b/>
          <w:color w:val="0F243E" w:themeColor="text2" w:themeShade="80"/>
          <w:kern w:val="0"/>
          <w:sz w:val="22"/>
          <w:szCs w:val="22"/>
        </w:rPr>
      </w:pP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图1：纳斯达克指数与苹果公司收入非常相关</w:t>
      </w:r>
    </w:p>
    <w:p>
      <w:pPr>
        <w:widowControl/>
        <w:spacing w:beforeLines="50"/>
        <w:jc w:val="center"/>
        <w:rPr>
          <w:rFonts w:ascii="楷体" w:hAnsi="楷体" w:eastAsia="楷体" w:cs="宋体"/>
          <w:b/>
          <w:color w:val="0F243E" w:themeColor="text2" w:themeShade="80"/>
          <w:kern w:val="0"/>
          <w:sz w:val="22"/>
          <w:szCs w:val="22"/>
        </w:rPr>
      </w:pPr>
      <w:r>
        <w:rPr>
          <w:rFonts w:ascii="楷体" w:hAnsi="楷体" w:eastAsia="楷体"/>
        </w:rPr>
        <w:drawing>
          <wp:inline distT="0" distB="0" distL="0" distR="0">
            <wp:extent cx="4572000" cy="2743200"/>
            <wp:effectExtent l="0" t="0" r="0" b="0"/>
            <wp:docPr id="3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健康有效的资本市场带动新兴产业的发展，向社会提供新产品，改善“新消费时代”的供给端，将助力消费增量，稳定经济发展。</w:t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ascii="楷体" w:hAnsi="楷体" w:eastAsia="楷体"/>
          <w:color w:val="000080"/>
          <w:sz w:val="24"/>
        </w:rPr>
        <w:t xml:space="preserve"> </w:t>
      </w:r>
    </w:p>
    <w:p>
      <w:pPr>
        <w:spacing w:line="440" w:lineRule="exact"/>
        <w:rPr>
          <w:rFonts w:ascii="楷体" w:hAnsi="楷体" w:eastAsia="楷体"/>
          <w:color w:val="000080"/>
          <w:sz w:val="30"/>
          <w:szCs w:val="30"/>
        </w:rPr>
      </w:pPr>
      <w:r>
        <w:rPr>
          <w:rFonts w:hint="eastAsia" w:ascii="楷体" w:hAnsi="楷体" w:eastAsia="楷体"/>
          <w:color w:val="000080"/>
          <w:sz w:val="30"/>
          <w:szCs w:val="30"/>
        </w:rPr>
        <w:t>二、资本市场的发展，有助于消费增量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发达国家的经验证明，资本市场的成熟与发展，与居民财富增长息息相关。资本市场的涨跌，左右了居民消费增速。我国市场也正在实现同样的特征。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1、美国股市左右消费增速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1）美国股市增速是其GDP增速的8倍</w:t>
      </w:r>
    </w:p>
    <w:p>
      <w:pPr>
        <w:widowControl/>
        <w:spacing w:beforeLines="50"/>
        <w:jc w:val="center"/>
        <w:rPr>
          <w:rFonts w:ascii="楷体" w:hAnsi="楷体" w:eastAsia="楷体" w:cs="宋体"/>
          <w:b/>
          <w:color w:val="0F243E" w:themeColor="text2" w:themeShade="80"/>
          <w:kern w:val="0"/>
          <w:sz w:val="22"/>
          <w:szCs w:val="22"/>
        </w:rPr>
      </w:pP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图</w:t>
      </w:r>
      <w:r>
        <w:rPr>
          <w:rFonts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2</w:t>
      </w: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：美国股市与G</w:t>
      </w:r>
      <w:r>
        <w:rPr>
          <w:rFonts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DP</w:t>
      </w: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关系</w:t>
      </w:r>
    </w:p>
    <w:p>
      <w:pPr>
        <w:spacing w:line="276" w:lineRule="auto"/>
        <w:jc w:val="center"/>
        <w:rPr>
          <w:rFonts w:ascii="楷体" w:hAnsi="楷体" w:eastAsia="楷体"/>
          <w:color w:val="000080"/>
          <w:sz w:val="24"/>
        </w:rPr>
      </w:pPr>
      <w:r>
        <w:rPr>
          <w:rFonts w:ascii="楷体" w:hAnsi="楷体" w:eastAsia="楷体"/>
        </w:rPr>
        <w:drawing>
          <wp:inline distT="0" distB="0" distL="0" distR="0">
            <wp:extent cx="5278755" cy="2948940"/>
            <wp:effectExtent l="0" t="0" r="0" b="0"/>
            <wp:docPr id="37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276" w:lineRule="auto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图2可见，美国GDP逐年走高，资本市场的交易量与波动程度也成倍放大。资本市场倍速于GDP现象的产生，是伴随着消费支出占比提升进行的。随着居民财富的增加，快消品和房产上已经无法容纳剩余资产，只能用于投资，而企业缺乏资金，二者相与成全。居民剩余财富累积于资本市场，股指就快于GDP的增速。并且，金融资产在个人财富中的占比逐年升高，也成为美国资本市场波动的主因之一。</w:t>
      </w:r>
      <w:r>
        <w:rPr>
          <w:rFonts w:ascii="楷体" w:hAnsi="楷体" w:eastAsia="楷体"/>
          <w:color w:val="000080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同时对比消费增速数据，资本市场的荣衰也与之息息相关。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因为中国消费占比GDP与美国1971年水平相当，所以用1971年为基期进行中美对比。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表4：以1971年为基期，美国指标增长倍数对比</w:t>
      </w:r>
    </w:p>
    <w:tbl>
      <w:tblPr>
        <w:tblStyle w:val="4"/>
        <w:tblW w:w="86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40"/>
        <w:gridCol w:w="1640"/>
        <w:gridCol w:w="1640"/>
        <w:gridCol w:w="2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年份/累计增速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0"/>
                <w:szCs w:val="20"/>
              </w:rPr>
              <w:t>道琼斯工业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0"/>
                <w:szCs w:val="20"/>
              </w:rPr>
              <w:t>标准普尔</w:t>
            </w:r>
            <w:r>
              <w:rPr>
                <w:rFonts w:ascii="楷体" w:hAnsi="楷体" w:eastAsia="楷体" w:cs="Arial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0"/>
                <w:szCs w:val="20"/>
              </w:rPr>
              <w:t>纳斯达克综合</w:t>
            </w: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楷体" w:hAnsi="楷体" w:eastAsia="楷体" w:cs="Arial"/>
                <w:color w:val="000000"/>
                <w:kern w:val="0"/>
                <w:sz w:val="20"/>
                <w:szCs w:val="20"/>
              </w:rPr>
              <w:t>GDP(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0"/>
                <w:szCs w:val="20"/>
              </w:rPr>
              <w:t>十亿美元</w:t>
            </w:r>
            <w:r>
              <w:rPr>
                <w:rFonts w:ascii="楷体" w:hAnsi="楷体" w:eastAsia="楷体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2018</w:t>
            </w: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26.21 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24.56 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58.14 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3.62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1984</w:t>
            </w: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2.17 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1980</w:t>
            </w: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 xml:space="preserve">1.32 </w:t>
            </w:r>
          </w:p>
        </w:tc>
      </w:tr>
    </w:tbl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表4可见，1971年到1985年之前，尽管GDP增长明显，但美国股市仍处于低位, 除了纳斯达克之外，道琼斯指数涨幅甚至赶不上GDP增速。1985年以后，由于大规模减税，美国企业以及资本市场均受到鼓舞，实体经营收益和居民财富增加，技术创新得到激励，股市市值与GDP之比连续创出新高。并且在后来发展途中，股市、技术创新、消费一直保持密切联系、循环互动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2）美国股市增速左右消费增速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rPr>
          <w:rFonts w:ascii="楷体" w:hAnsi="楷体" w:eastAsia="楷体"/>
          <w:color w:val="000080"/>
          <w:sz w:val="24"/>
        </w:rPr>
      </w:pPr>
      <w:r>
        <w:rPr>
          <w:rFonts w:ascii="楷体" w:hAnsi="楷体" w:eastAsia="楷体"/>
          <w:color w:val="00008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188595</wp:posOffset>
            </wp:positionV>
            <wp:extent cx="5274945" cy="2743200"/>
            <wp:effectExtent l="19050" t="0" r="20955" b="0"/>
            <wp:wrapSquare wrapText="bothSides"/>
            <wp:docPr id="38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pacing w:line="440" w:lineRule="exact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图</w:t>
      </w:r>
      <w:r>
        <w:rPr>
          <w:rFonts w:ascii="楷体" w:hAnsi="楷体" w:eastAsia="楷体"/>
          <w:b/>
          <w:color w:val="000080"/>
          <w:sz w:val="24"/>
        </w:rPr>
        <w:t>3</w:t>
      </w:r>
      <w:r>
        <w:rPr>
          <w:rFonts w:hint="eastAsia" w:ascii="楷体" w:hAnsi="楷体" w:eastAsia="楷体"/>
          <w:b/>
          <w:color w:val="000080"/>
          <w:sz w:val="24"/>
        </w:rPr>
        <w:t>：标普指数同比值与GDP消费支出同比贡献率的关系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图3可以看出，美国个人消费支出数据与美国股指走势呈高度正相关，时间越接近当今，二者相关性越强，并且股指领先消费指数越来越明显。当股市向下波动，消费支出的占比在一年半左右随之回落；而股市底部回升之后，也能够拉动消费进入下一轮回升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其中原因，美国经济已经进入到消费主导的结构，人均收入水平早已跨越温饱，人口稳定，消费的增量比较恒定。一方面，投资收益的波动，大幅影响居民收入，就成为消费增减的明显动因。另一方面，股票市场的升降，往往体现了科技发展、企业创造附加值的能力，也就是企业提供新型消费产品的能力。高质量的新供给增加，消费则形成增量，反之，消费回落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2、中国股市增速是GDP增速的3-8倍</w:t>
      </w:r>
    </w:p>
    <w:p>
      <w:pPr>
        <w:spacing w:line="440" w:lineRule="exact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目前，中国股市正处在从反映经济规模到反映经济质量的拐点上。金融供给侧改革的实质目标就是提供质量更高的金融产品，其一是向社会资金提供质量更高的上市企业、充分交易的市场。</w:t>
      </w:r>
    </w:p>
    <w:p>
      <w:pPr>
        <w:spacing w:line="440" w:lineRule="exact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从表5看，中国市值与交易规模的最大累计增速只是GDP累计增速的8倍（1998年为基期），也没有达到美国的10倍水平。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widowControl/>
        <w:spacing w:beforeLines="50"/>
        <w:jc w:val="center"/>
        <w:rPr>
          <w:rFonts w:ascii="楷体" w:hAnsi="楷体" w:eastAsia="楷体"/>
          <w:color w:val="000080"/>
          <w:sz w:val="24"/>
          <w:highlight w:val="yellow"/>
        </w:rPr>
      </w:pP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表5： 1</w:t>
      </w:r>
      <w:r>
        <w:rPr>
          <w:rFonts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998</w:t>
      </w:r>
      <w:r>
        <w:rPr>
          <w:rFonts w:hint="eastAsia" w:ascii="楷体" w:hAnsi="楷体" w:eastAsia="楷体" w:cs="宋体"/>
          <w:b/>
          <w:color w:val="0F243E" w:themeColor="text2" w:themeShade="80"/>
          <w:kern w:val="0"/>
          <w:sz w:val="22"/>
          <w:szCs w:val="22"/>
        </w:rPr>
        <w:t>年为基期，中国股市规模是GDP增速的3-8倍</w:t>
      </w:r>
    </w:p>
    <w:tbl>
      <w:tblPr>
        <w:tblStyle w:val="4"/>
        <w:tblW w:w="6661" w:type="dxa"/>
        <w:jc w:val="center"/>
        <w:tblInd w:w="-7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030"/>
        <w:gridCol w:w="1134"/>
        <w:gridCol w:w="850"/>
        <w:gridCol w:w="827"/>
        <w:gridCol w:w="1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年份/累计增速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市场总值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流通市值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成交额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GDP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贷款余额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</w:rPr>
              <w:t>2018年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29.07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78.19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47.77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9.71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0"/>
              </w:rPr>
              <w:t>13.88</w:t>
            </w:r>
          </w:p>
        </w:tc>
      </w:tr>
    </w:tbl>
    <w:p>
      <w:pPr>
        <w:spacing w:line="440" w:lineRule="exact"/>
        <w:ind w:firstLine="482" w:firstLineChars="200"/>
        <w:rPr>
          <w:rFonts w:ascii="楷体" w:hAnsi="楷体" w:eastAsia="楷体"/>
          <w:b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由图4可知，</w:t>
      </w:r>
      <w:r>
        <w:rPr>
          <w:rFonts w:hint="eastAsia" w:ascii="楷体" w:hAnsi="楷体" w:eastAsia="楷体"/>
          <w:b/>
          <w:color w:val="000080"/>
          <w:sz w:val="24"/>
        </w:rPr>
        <w:t>如今中国股指与GDP的关系与美国1985年大规模减税之前比较类似：GDP连年升高，但是股市长期停滞不前。</w:t>
      </w:r>
      <w:r>
        <w:rPr>
          <w:rFonts w:hint="eastAsia" w:ascii="楷体" w:hAnsi="楷体" w:eastAsia="楷体"/>
          <w:color w:val="000080"/>
          <w:sz w:val="24"/>
        </w:rPr>
        <w:t>同时，消费对GDP贡献已经处于中高位置，接近于GDP增量贡献的60%。</w:t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股市成交规模与中国人均收入和消费总量的提升相适应。1997-2007十年间，沪深股市总成交量一直没有突破10亿股，2018年达到603亿。其中1999年上证市场创出阶段性单日成交高位，也不过5000万，这一数字在2015年牛市中飙升到5个亿，其实在中国跨入消费型发达国家之前，单日成交规模一定不会保持在过去的水平，这是与GDP增长、居民财富增加相匹配的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38100</wp:posOffset>
            </wp:positionV>
            <wp:extent cx="3822065" cy="2230120"/>
            <wp:effectExtent l="19050" t="0" r="26035" b="0"/>
            <wp:wrapSquare wrapText="bothSides"/>
            <wp:docPr id="39" name="图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440" w:lineRule="exact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图4：中国股市市值与GDP增长、第三产业增速相匹配</w:t>
      </w:r>
    </w:p>
    <w:p>
      <w:pPr>
        <w:spacing w:line="440" w:lineRule="exact"/>
        <w:ind w:firstLine="482" w:firstLineChars="200"/>
        <w:rPr>
          <w:rFonts w:ascii="楷体" w:hAnsi="楷体" w:eastAsia="楷体"/>
          <w:b/>
          <w:color w:val="000080"/>
          <w:sz w:val="24"/>
        </w:rPr>
      </w:pPr>
    </w:p>
    <w:p>
      <w:pPr>
        <w:spacing w:line="440" w:lineRule="exact"/>
        <w:ind w:firstLine="482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2007年之前，股指趋势不能与经济趋势匹配，主要原因是上市公司数量的问题。</w:t>
      </w:r>
      <w:r>
        <w:rPr>
          <w:rFonts w:hint="eastAsia" w:ascii="楷体" w:hAnsi="楷体" w:eastAsia="楷体"/>
          <w:color w:val="000080"/>
          <w:sz w:val="24"/>
        </w:rPr>
        <w:t>在股改之前，股市基本没有代表中国经济存量的公司，股市市值占比GDP极低，股指与GDP走势自然偏离。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2</w:t>
      </w:r>
      <w:r>
        <w:rPr>
          <w:rFonts w:hint="eastAsia" w:ascii="楷体" w:hAnsi="楷体" w:eastAsia="楷体"/>
          <w:b/>
          <w:color w:val="000080"/>
          <w:sz w:val="24"/>
        </w:rPr>
        <w:t>007年至今，中国股市主要问题已经是质量问题，也是发展阶段的问题。</w:t>
      </w:r>
      <w:r>
        <w:rPr>
          <w:rFonts w:hint="eastAsia" w:ascii="楷体" w:hAnsi="楷体" w:eastAsia="楷体"/>
          <w:color w:val="000080"/>
          <w:sz w:val="24"/>
        </w:rPr>
        <w:t>股市无论是市值还是交易，其规模都是十倍以上扩张，已经能够在某些角度上反映中国经济的规模，但结构和质量存在问题，不能反映中国经济的扩张速度和质量。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未来，规模扩张还有待持续。规模不是最大问题，上市企业的质量与健康有效的市场秩序才是关键。目前科创板的推出无疑是用市场解决市场问题的成功决定，未来注册制的实施更是人心所向。</w:t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276" w:lineRule="auto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3、中国股市变化左右消费增量</w:t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虽然中国资本市场存在多种问题，但从“投资品”属性上还是反映了中国人均收入的提升。也在某些时段左右了消费的增速。与美国特征基本一致。</w:t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从图6可以看出，居</w:t>
      </w:r>
      <w:r>
        <w:rPr>
          <w:rFonts w:hint="eastAsia" w:ascii="楷体" w:hAnsi="楷体" w:eastAsia="楷体"/>
          <w:b/>
          <w:color w:val="000080"/>
          <w:sz w:val="24"/>
        </w:rPr>
        <w:t>民消费强度与股指表现息息相关，滞后于股指一年左右出现高点低点</w:t>
      </w:r>
      <w:r>
        <w:rPr>
          <w:rFonts w:hint="eastAsia" w:ascii="楷体" w:hAnsi="楷体" w:eastAsia="楷体"/>
          <w:color w:val="000080"/>
          <w:sz w:val="24"/>
        </w:rPr>
        <w:t>，非常明显地说明投资品也已经成为中国居民财富的重要组成部分，对消费起到引领作用。（由于餐饮业与三公消费的关系，零售与网络购物的关系，这两个行业的数据统计存在环境影响，不是完全居民消费意愿左右，因此作为对比不是十分明显，但住宿业、居民服务业数据相对单纯，用以对比十分明显。）</w:t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ascii="楷体" w:hAnsi="楷体" w:eastAsia="楷体"/>
          <w:color w:val="000080"/>
          <w:sz w:val="24"/>
        </w:rPr>
        <w:drawing>
          <wp:inline distT="0" distB="0" distL="0" distR="0">
            <wp:extent cx="5231765" cy="2096135"/>
            <wp:effectExtent l="19050" t="0" r="25977" b="0"/>
            <wp:docPr id="4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276" w:lineRule="auto"/>
        <w:ind w:left="0" w:leftChars="-67" w:hanging="141" w:hangingChars="59"/>
        <w:rPr>
          <w:rFonts w:ascii="楷体" w:hAnsi="楷体" w:eastAsia="楷体"/>
          <w:color w:val="000080"/>
          <w:sz w:val="24"/>
        </w:rPr>
      </w:pP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ascii="楷体" w:hAnsi="楷体" w:eastAsia="楷体"/>
          <w:color w:val="000080"/>
          <w:sz w:val="24"/>
        </w:rPr>
        <w:drawing>
          <wp:inline distT="0" distB="0" distL="0" distR="0">
            <wp:extent cx="4572000" cy="2743200"/>
            <wp:effectExtent l="19050" t="0" r="19050" b="0"/>
            <wp:docPr id="41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line="276" w:lineRule="auto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图5-6：上证指数领先于消费服务PMI走势</w:t>
      </w:r>
    </w:p>
    <w:p>
      <w:pPr>
        <w:spacing w:line="440" w:lineRule="exact"/>
        <w:ind w:firstLine="480" w:firstLineChars="200"/>
        <w:rPr>
          <w:rFonts w:ascii="楷体" w:hAnsi="楷体" w:eastAsia="楷体"/>
          <w:color w:val="000080"/>
          <w:sz w:val="24"/>
        </w:rPr>
      </w:pPr>
    </w:p>
    <w:p>
      <w:pPr>
        <w:spacing w:line="276" w:lineRule="auto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三、建议与展望</w:t>
      </w:r>
    </w:p>
    <w:p>
      <w:pPr>
        <w:spacing w:line="276" w:lineRule="auto"/>
        <w:ind w:firstLine="480" w:firstLineChars="200"/>
        <w:rPr>
          <w:rFonts w:ascii="楷体" w:hAnsi="楷体" w:eastAsia="楷体"/>
          <w:color w:val="000080"/>
          <w:sz w:val="24"/>
        </w:rPr>
      </w:pPr>
      <w:r>
        <w:rPr>
          <w:rFonts w:hint="eastAsia" w:ascii="楷体" w:hAnsi="楷体" w:eastAsia="楷体"/>
          <w:color w:val="000080"/>
          <w:sz w:val="24"/>
        </w:rPr>
        <w:t>未来中国股市的目标，应该是成为美国股市那样，成为与居民消费支出水平指标联系密切的一个市场，成为总体经济情况直观的反映。为达到此目标，我们的建议是：</w:t>
      </w:r>
    </w:p>
    <w:p>
      <w:pPr>
        <w:spacing w:line="276" w:lineRule="auto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中国的资本市场，应该在合理监管的前提下，让市场来承担主要工作。</w:t>
      </w:r>
    </w:p>
    <w:p>
      <w:pPr>
        <w:spacing w:line="276" w:lineRule="auto"/>
        <w:ind w:firstLine="482" w:firstLineChars="200"/>
        <w:rPr>
          <w:rFonts w:ascii="楷体" w:hAnsi="楷体" w:eastAsia="楷体"/>
          <w:b/>
          <w:color w:val="000080"/>
          <w:sz w:val="24"/>
        </w:rPr>
      </w:pPr>
      <w:r>
        <w:rPr>
          <w:rFonts w:hint="eastAsia" w:ascii="楷体" w:hAnsi="楷体" w:eastAsia="楷体"/>
          <w:b/>
          <w:color w:val="000080"/>
          <w:sz w:val="24"/>
        </w:rPr>
        <w:t>目前，对规模扩张持以谨慎欢迎的态度，规则用以限制不当牟利，而不是限制牟利。</w:t>
      </w:r>
    </w:p>
    <w:p>
      <w:pPr>
        <w:pStyle w:val="2"/>
        <w:ind w:firstLine="480" w:firstLineChars="200"/>
        <w:rPr>
          <w:rFonts w:ascii="楷体" w:hAnsi="楷体" w:eastAsia="楷体"/>
          <w:color w:val="000080"/>
          <w:sz w:val="24"/>
          <w:szCs w:val="24"/>
        </w:rPr>
      </w:pPr>
      <w:r>
        <w:rPr>
          <w:rFonts w:hint="eastAsia" w:ascii="楷体" w:hAnsi="楷体" w:eastAsia="楷体"/>
          <w:color w:val="000080"/>
          <w:sz w:val="24"/>
          <w:szCs w:val="24"/>
        </w:rPr>
        <w:t>直接融资快速扩张有其他副作用。例如非科创实体更加受益，因为快消领域变现快，中国式资金更青睐；比如杠杆率重新升高，泡沫风险重来；比如炒作投机风气盛行，影响市场长期建设。不过，市场的归市场，管理的归管理，如果因为市场过于喧嚣而关闭市场，显然是得不偿失的。注册制，用市场甄别质量，当足够多的博弈方存在的时候，理性往往胜出；审批制下，偌大市场，依靠监管机构人员的职业操守与奉献精神进行管理，工作量巨大却容易成效偏离。在前两年的重手治理、股市大幅波动中，投资机构的行为得到了极大约束。</w:t>
      </w:r>
    </w:p>
    <w:p>
      <w:pPr>
        <w:pStyle w:val="2"/>
        <w:ind w:firstLine="480" w:firstLineChars="200"/>
        <w:rPr>
          <w:rFonts w:ascii="楷体" w:hAnsi="楷体" w:eastAsia="楷体"/>
          <w:color w:val="000080"/>
          <w:sz w:val="24"/>
          <w:szCs w:val="24"/>
        </w:rPr>
      </w:pPr>
      <w:r>
        <w:rPr>
          <w:rFonts w:hint="eastAsia" w:ascii="楷体" w:hAnsi="楷体" w:eastAsia="楷体"/>
          <w:color w:val="000080"/>
          <w:sz w:val="24"/>
          <w:szCs w:val="24"/>
        </w:rPr>
        <w:t>目前，资本市场扩容，是“新消费时代”的重要组成部分，是提升创新水平、促进消费、稳增长的有效手段。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DD"/>
    <w:rsid w:val="00247558"/>
    <w:rsid w:val="007E6768"/>
    <w:rsid w:val="00930832"/>
    <w:rsid w:val="009908DD"/>
    <w:rsid w:val="00B05A0C"/>
    <w:rsid w:val="00C17194"/>
    <w:rsid w:val="0AF96DAF"/>
    <w:rsid w:val="394B737D"/>
    <w:rsid w:val="3C700ACA"/>
    <w:rsid w:val="42CF6C8D"/>
    <w:rsid w:val="586169CF"/>
    <w:rsid w:val="5E1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qFormat="1" w:unhideWhenUsed="0" w:uiPriority="0" w:semiHidden="0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table" w:styleId="5">
    <w:name w:val="Table List 3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7">
    <w:name w:val="纯文本 Char"/>
    <w:basedOn w:val="6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8">
    <w:name w:val="纯文本 Char1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ink\Desktop\&#32435;&#26031;&#36798;&#2081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ink\Desktop\&#20013;&#32654;GDP&#19982;&#26381;&#21153;&#19994;&#19982;&#32929;&#24066;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ink\Desktop\&#20013;&#32654;GDP&#19982;&#26381;&#21153;&#19994;&#19982;&#32929;&#24066;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cuments\&#21103;&#26412;&#20869;&#21442;190306&#29992;&#2227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Outlook\N1JKYQO2\&#20869;&#21442;190306&#29992;&#2227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Outlook\N1JKYQO2\&#20869;&#21442;190306&#29992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19142607174104"/>
          <c:y val="0.0509259259259259"/>
          <c:w val="0.791546369203849"/>
          <c:h val="0.552298775153107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Sheet0!$F$4</c:f>
              <c:strCache>
                <c:ptCount val="1"/>
                <c:pt idx="0">
                  <c:v>苹果公司营业收入(十亿美元)(右轴)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Sheet0!$C$5:$C$25</c:f>
              <c:strCache>
                <c:ptCount val="21"/>
                <c:pt idx="0">
                  <c:v>2014一季度</c:v>
                </c:pt>
                <c:pt idx="1">
                  <c:v>2014二季度</c:v>
                </c:pt>
                <c:pt idx="2">
                  <c:v>2014三季度</c:v>
                </c:pt>
                <c:pt idx="3">
                  <c:v>2014四季度</c:v>
                </c:pt>
                <c:pt idx="4">
                  <c:v>2015一季度</c:v>
                </c:pt>
                <c:pt idx="5">
                  <c:v>2015二季度</c:v>
                </c:pt>
                <c:pt idx="6">
                  <c:v>2015三季度</c:v>
                </c:pt>
                <c:pt idx="7">
                  <c:v>2015四季度</c:v>
                </c:pt>
                <c:pt idx="8">
                  <c:v>2016一季度</c:v>
                </c:pt>
                <c:pt idx="9">
                  <c:v>2016二季度</c:v>
                </c:pt>
                <c:pt idx="10">
                  <c:v>2016三季度</c:v>
                </c:pt>
                <c:pt idx="11">
                  <c:v>2016四季度</c:v>
                </c:pt>
                <c:pt idx="12">
                  <c:v>2017一季度</c:v>
                </c:pt>
                <c:pt idx="13">
                  <c:v>2017二季度</c:v>
                </c:pt>
                <c:pt idx="14">
                  <c:v>2017三季度</c:v>
                </c:pt>
                <c:pt idx="15">
                  <c:v>2017四季度</c:v>
                </c:pt>
                <c:pt idx="16">
                  <c:v>2018一季度</c:v>
                </c:pt>
                <c:pt idx="17">
                  <c:v>2018二季度</c:v>
                </c:pt>
                <c:pt idx="18">
                  <c:v>2018三季度</c:v>
                </c:pt>
                <c:pt idx="19">
                  <c:v>2018四季度</c:v>
                </c:pt>
                <c:pt idx="20">
                  <c:v>2019一季度</c:v>
                </c:pt>
              </c:strCache>
            </c:strRef>
          </c:cat>
          <c:val>
            <c:numRef>
              <c:f>Sheet0!$F$5:$F$25</c:f>
              <c:numCache>
                <c:formatCode>0.00_);[Red]\(0.00\)</c:formatCode>
                <c:ptCount val="21"/>
                <c:pt idx="0">
                  <c:v>57.59</c:v>
                </c:pt>
                <c:pt idx="1">
                  <c:v>103.24</c:v>
                </c:pt>
                <c:pt idx="2">
                  <c:v>140.672</c:v>
                </c:pt>
                <c:pt idx="3">
                  <c:v>182.795</c:v>
                </c:pt>
                <c:pt idx="4">
                  <c:v>74.599</c:v>
                </c:pt>
                <c:pt idx="5">
                  <c:v>132.609</c:v>
                </c:pt>
                <c:pt idx="6">
                  <c:v>182.214</c:v>
                </c:pt>
                <c:pt idx="7">
                  <c:v>233.715</c:v>
                </c:pt>
                <c:pt idx="8">
                  <c:v>75.872</c:v>
                </c:pt>
                <c:pt idx="9">
                  <c:v>126.429</c:v>
                </c:pt>
                <c:pt idx="10">
                  <c:v>168.787</c:v>
                </c:pt>
                <c:pt idx="11">
                  <c:v>215.639</c:v>
                </c:pt>
                <c:pt idx="12">
                  <c:v>78.351</c:v>
                </c:pt>
                <c:pt idx="13">
                  <c:v>131.247</c:v>
                </c:pt>
                <c:pt idx="14">
                  <c:v>176.655</c:v>
                </c:pt>
                <c:pt idx="15">
                  <c:v>229.234</c:v>
                </c:pt>
                <c:pt idx="16">
                  <c:v>88.293</c:v>
                </c:pt>
                <c:pt idx="17">
                  <c:v>149.43</c:v>
                </c:pt>
                <c:pt idx="18">
                  <c:v>202.695</c:v>
                </c:pt>
                <c:pt idx="19">
                  <c:v>265.595</c:v>
                </c:pt>
                <c:pt idx="20">
                  <c:v>84.31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9587072"/>
        <c:axId val="109585536"/>
      </c:barChart>
      <c:lineChart>
        <c:grouping val="standard"/>
        <c:varyColors val="0"/>
        <c:ser>
          <c:idx val="0"/>
          <c:order val="0"/>
          <c:tx>
            <c:strRef>
              <c:f>Sheet0!$D$4</c:f>
              <c:strCache>
                <c:ptCount val="1"/>
                <c:pt idx="0">
                  <c:v>纳斯达克综合指数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Sheet0!$C$5:$C$25</c:f>
              <c:strCache>
                <c:ptCount val="21"/>
                <c:pt idx="0">
                  <c:v>2014一季度</c:v>
                </c:pt>
                <c:pt idx="1">
                  <c:v>2014二季度</c:v>
                </c:pt>
                <c:pt idx="2">
                  <c:v>2014三季度</c:v>
                </c:pt>
                <c:pt idx="3">
                  <c:v>2014四季度</c:v>
                </c:pt>
                <c:pt idx="4">
                  <c:v>2015一季度</c:v>
                </c:pt>
                <c:pt idx="5">
                  <c:v>2015二季度</c:v>
                </c:pt>
                <c:pt idx="6">
                  <c:v>2015三季度</c:v>
                </c:pt>
                <c:pt idx="7">
                  <c:v>2015四季度</c:v>
                </c:pt>
                <c:pt idx="8">
                  <c:v>2016一季度</c:v>
                </c:pt>
                <c:pt idx="9">
                  <c:v>2016二季度</c:v>
                </c:pt>
                <c:pt idx="10">
                  <c:v>2016三季度</c:v>
                </c:pt>
                <c:pt idx="11">
                  <c:v>2016四季度</c:v>
                </c:pt>
                <c:pt idx="12">
                  <c:v>2017一季度</c:v>
                </c:pt>
                <c:pt idx="13">
                  <c:v>2017二季度</c:v>
                </c:pt>
                <c:pt idx="14">
                  <c:v>2017三季度</c:v>
                </c:pt>
                <c:pt idx="15">
                  <c:v>2017四季度</c:v>
                </c:pt>
                <c:pt idx="16">
                  <c:v>2018一季度</c:v>
                </c:pt>
                <c:pt idx="17">
                  <c:v>2018二季度</c:v>
                </c:pt>
                <c:pt idx="18">
                  <c:v>2018三季度</c:v>
                </c:pt>
                <c:pt idx="19">
                  <c:v>2018四季度</c:v>
                </c:pt>
                <c:pt idx="20">
                  <c:v>2019一季度</c:v>
                </c:pt>
              </c:strCache>
            </c:strRef>
          </c:cat>
          <c:val>
            <c:numRef>
              <c:f>Sheet0!$D$5:$D$25</c:f>
              <c:numCache>
                <c:formatCode>General</c:formatCode>
                <c:ptCount val="21"/>
                <c:pt idx="0">
                  <c:v>4366.61</c:v>
                </c:pt>
                <c:pt idx="1">
                  <c:v>4408.18</c:v>
                </c:pt>
                <c:pt idx="2">
                  <c:v>4598.19</c:v>
                </c:pt>
                <c:pt idx="3">
                  <c:v>4806.91</c:v>
                </c:pt>
                <c:pt idx="4" c:formatCode="0.00_);[Red]\(0.00\)">
                  <c:v>4900.89</c:v>
                </c:pt>
                <c:pt idx="5" c:formatCode="0.00_);[Red]\(0.00\)">
                  <c:v>4986.867</c:v>
                </c:pt>
                <c:pt idx="6" c:formatCode="0.00_);[Red]\(0.00\)">
                  <c:v>4620.16500000001</c:v>
                </c:pt>
                <c:pt idx="7" c:formatCode="0.00_);[Red]\(0.00\)">
                  <c:v>5007.412</c:v>
                </c:pt>
                <c:pt idx="8" c:formatCode="0.00_);[Red]\(0.00\)">
                  <c:v>4869.848</c:v>
                </c:pt>
                <c:pt idx="9" c:formatCode="0.00_);[Red]\(0.00\)">
                  <c:v>4842.672</c:v>
                </c:pt>
                <c:pt idx="10" c:formatCode="0.00_);[Red]\(0.00\)">
                  <c:v>5312</c:v>
                </c:pt>
                <c:pt idx="11" c:formatCode="0.00_);[Red]\(0.00\)">
                  <c:v>5383.12</c:v>
                </c:pt>
                <c:pt idx="12" c:formatCode="0.00_);[Red]\(0.00\)">
                  <c:v>5911.74</c:v>
                </c:pt>
                <c:pt idx="13" c:formatCode="0.00_);[Red]\(0.00\)">
                  <c:v>6140.42</c:v>
                </c:pt>
                <c:pt idx="14" c:formatCode="0.00_);[Red]\(0.00\)">
                  <c:v>6495.96</c:v>
                </c:pt>
                <c:pt idx="15" c:formatCode="0.00_);[Red]\(0.00\)">
                  <c:v>6903.39</c:v>
                </c:pt>
                <c:pt idx="16" c:formatCode="0.00_);[Red]\(0.00\)">
                  <c:v>7588.32</c:v>
                </c:pt>
                <c:pt idx="17" c:formatCode="0.00_);[Red]\(0.00\)">
                  <c:v>7510.3</c:v>
                </c:pt>
                <c:pt idx="18" c:formatCode="0.00_);[Red]\(0.00\)">
                  <c:v>8046.35</c:v>
                </c:pt>
                <c:pt idx="19" c:formatCode="0.00_);[Red]\(0.00\)">
                  <c:v>8037.3</c:v>
                </c:pt>
                <c:pt idx="20" c:formatCode="0.00_);[Red]\(0.00\)">
                  <c:v>7595.35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9294592"/>
        <c:axId val="99350016"/>
      </c:lineChart>
      <c:catAx>
        <c:axId val="9929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350016"/>
        <c:crosses val="autoZero"/>
        <c:auto val="1"/>
        <c:lblAlgn val="ctr"/>
        <c:lblOffset val="100"/>
        <c:noMultiLvlLbl val="0"/>
      </c:catAx>
      <c:valAx>
        <c:axId val="9935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294592"/>
        <c:crosses val="autoZero"/>
        <c:crossBetween val="between"/>
      </c:valAx>
      <c:catAx>
        <c:axId val="109587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9585536"/>
        <c:crosses val="autoZero"/>
        <c:auto val="1"/>
        <c:lblAlgn val="ctr"/>
        <c:lblOffset val="100"/>
        <c:noMultiLvlLbl val="0"/>
      </c:catAx>
      <c:valAx>
        <c:axId val="109585536"/>
        <c:scaling>
          <c:orientation val="minMax"/>
        </c:scaling>
        <c:delete val="0"/>
        <c:axPos val="r"/>
        <c:numFmt formatCode="0.00_);[Red]\(0.00\)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958707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2611111111111"/>
          <c:y val="0.896989647127442"/>
          <c:w val="0.856399825021875"/>
          <c:h val="0.0781255468066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美国GDP与消费!$B$1</c:f>
              <c:strCache>
                <c:ptCount val="1"/>
                <c:pt idx="0">
                  <c:v>美国：GDP数量指数：季调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美国GDP与消费!$A$18:$A$63</c:f>
              <c:numCache>
                <c:formatCode>General</c:formatCode>
                <c:ptCount val="46"/>
                <c:pt idx="0">
                  <c:v>1973</c:v>
                </c:pt>
                <c:pt idx="1">
                  <c:v>1974</c:v>
                </c:pt>
                <c:pt idx="2">
                  <c:v>1975</c:v>
                </c:pt>
                <c:pt idx="3">
                  <c:v>1976</c:v>
                </c:pt>
                <c:pt idx="4">
                  <c:v>1977</c:v>
                </c:pt>
                <c:pt idx="5">
                  <c:v>1978</c:v>
                </c:pt>
                <c:pt idx="6">
                  <c:v>1979</c:v>
                </c:pt>
                <c:pt idx="7">
                  <c:v>1980</c:v>
                </c:pt>
                <c:pt idx="8">
                  <c:v>1981</c:v>
                </c:pt>
                <c:pt idx="9">
                  <c:v>1982</c:v>
                </c:pt>
                <c:pt idx="10">
                  <c:v>1983</c:v>
                </c:pt>
                <c:pt idx="11">
                  <c:v>1984</c:v>
                </c:pt>
                <c:pt idx="12">
                  <c:v>1985</c:v>
                </c:pt>
                <c:pt idx="13">
                  <c:v>1986</c:v>
                </c:pt>
                <c:pt idx="14">
                  <c:v>1987</c:v>
                </c:pt>
                <c:pt idx="15">
                  <c:v>1988</c:v>
                </c:pt>
                <c:pt idx="16">
                  <c:v>1989</c:v>
                </c:pt>
                <c:pt idx="17">
                  <c:v>1990</c:v>
                </c:pt>
                <c:pt idx="18">
                  <c:v>1991</c:v>
                </c:pt>
                <c:pt idx="19">
                  <c:v>1992</c:v>
                </c:pt>
                <c:pt idx="20">
                  <c:v>1993</c:v>
                </c:pt>
                <c:pt idx="21">
                  <c:v>1994</c:v>
                </c:pt>
                <c:pt idx="22">
                  <c:v>1995</c:v>
                </c:pt>
                <c:pt idx="23">
                  <c:v>1996</c:v>
                </c:pt>
                <c:pt idx="24">
                  <c:v>1997</c:v>
                </c:pt>
                <c:pt idx="25">
                  <c:v>1998</c:v>
                </c:pt>
                <c:pt idx="26">
                  <c:v>1999</c:v>
                </c:pt>
                <c:pt idx="27">
                  <c:v>2000</c:v>
                </c:pt>
                <c:pt idx="28">
                  <c:v>2001</c:v>
                </c:pt>
                <c:pt idx="29">
                  <c:v>2002</c:v>
                </c:pt>
                <c:pt idx="30">
                  <c:v>2003</c:v>
                </c:pt>
                <c:pt idx="31">
                  <c:v>2004</c:v>
                </c:pt>
                <c:pt idx="32">
                  <c:v>2005</c:v>
                </c:pt>
                <c:pt idx="33">
                  <c:v>2006</c:v>
                </c:pt>
                <c:pt idx="34">
                  <c:v>2007</c:v>
                </c:pt>
                <c:pt idx="35">
                  <c:v>2008</c:v>
                </c:pt>
                <c:pt idx="36">
                  <c:v>2009</c:v>
                </c:pt>
                <c:pt idx="37">
                  <c:v>2010</c:v>
                </c:pt>
                <c:pt idx="38">
                  <c:v>2011</c:v>
                </c:pt>
                <c:pt idx="39">
                  <c:v>2012</c:v>
                </c:pt>
                <c:pt idx="40">
                  <c:v>2013</c:v>
                </c:pt>
                <c:pt idx="41">
                  <c:v>2014</c:v>
                </c:pt>
                <c:pt idx="42">
                  <c:v>2015</c:v>
                </c:pt>
                <c:pt idx="43">
                  <c:v>2016</c:v>
                </c:pt>
                <c:pt idx="44">
                  <c:v>2017</c:v>
                </c:pt>
                <c:pt idx="45">
                  <c:v>2018</c:v>
                </c:pt>
              </c:numCache>
            </c:numRef>
          </c:cat>
          <c:val>
            <c:numRef>
              <c:f>美国GDP与消费!$B$18:$B$63</c:f>
              <c:numCache>
                <c:formatCode>General</c:formatCode>
                <c:ptCount val="46"/>
                <c:pt idx="0">
                  <c:v>37.62</c:v>
                </c:pt>
                <c:pt idx="1">
                  <c:v>37.42</c:v>
                </c:pt>
                <c:pt idx="2">
                  <c:v>37.35</c:v>
                </c:pt>
                <c:pt idx="3">
                  <c:v>39.36</c:v>
                </c:pt>
                <c:pt idx="4">
                  <c:v>41.18</c:v>
                </c:pt>
                <c:pt idx="5">
                  <c:v>43.47</c:v>
                </c:pt>
                <c:pt idx="6">
                  <c:v>44.85</c:v>
                </c:pt>
                <c:pt idx="7">
                  <c:v>44.74</c:v>
                </c:pt>
                <c:pt idx="8">
                  <c:v>45.9</c:v>
                </c:pt>
                <c:pt idx="9">
                  <c:v>45.02</c:v>
                </c:pt>
                <c:pt idx="10">
                  <c:v>47.1</c:v>
                </c:pt>
                <c:pt idx="11">
                  <c:v>50.52</c:v>
                </c:pt>
                <c:pt idx="12">
                  <c:v>52.67</c:v>
                </c:pt>
                <c:pt idx="13">
                  <c:v>54.52</c:v>
                </c:pt>
                <c:pt idx="14">
                  <c:v>56.4</c:v>
                </c:pt>
                <c:pt idx="15">
                  <c:v>58.77</c:v>
                </c:pt>
                <c:pt idx="16">
                  <c:v>60.94</c:v>
                </c:pt>
                <c:pt idx="17">
                  <c:v>62.11</c:v>
                </c:pt>
                <c:pt idx="18">
                  <c:v>62.06</c:v>
                </c:pt>
                <c:pt idx="19">
                  <c:v>64.27</c:v>
                </c:pt>
                <c:pt idx="20">
                  <c:v>66.03</c:v>
                </c:pt>
                <c:pt idx="21">
                  <c:v>68.7</c:v>
                </c:pt>
                <c:pt idx="22">
                  <c:v>70.57</c:v>
                </c:pt>
                <c:pt idx="23">
                  <c:v>73.24</c:v>
                </c:pt>
                <c:pt idx="24">
                  <c:v>76.53</c:v>
                </c:pt>
                <c:pt idx="25">
                  <c:v>79.94</c:v>
                </c:pt>
                <c:pt idx="26">
                  <c:v>83.68</c:v>
                </c:pt>
                <c:pt idx="27">
                  <c:v>87.11</c:v>
                </c:pt>
                <c:pt idx="28">
                  <c:v>87.96</c:v>
                </c:pt>
                <c:pt idx="29">
                  <c:v>89.53</c:v>
                </c:pt>
                <c:pt idx="30">
                  <c:v>92.04</c:v>
                </c:pt>
                <c:pt idx="31">
                  <c:v>95.52</c:v>
                </c:pt>
                <c:pt idx="32">
                  <c:v>98.72</c:v>
                </c:pt>
                <c:pt idx="33">
                  <c:v>101.35</c:v>
                </c:pt>
                <c:pt idx="34">
                  <c:v>103.16</c:v>
                </c:pt>
                <c:pt idx="35">
                  <c:v>102.86</c:v>
                </c:pt>
                <c:pt idx="36">
                  <c:v>100</c:v>
                </c:pt>
                <c:pt idx="37">
                  <c:v>102.53</c:v>
                </c:pt>
                <c:pt idx="38">
                  <c:v>104.17</c:v>
                </c:pt>
                <c:pt idx="39">
                  <c:v>106.49</c:v>
                </c:pt>
                <c:pt idx="40">
                  <c:v>108.28</c:v>
                </c:pt>
                <c:pt idx="41">
                  <c:v>111.06</c:v>
                </c:pt>
                <c:pt idx="42">
                  <c:v>114.24</c:v>
                </c:pt>
                <c:pt idx="43">
                  <c:v>115.93</c:v>
                </c:pt>
                <c:pt idx="44">
                  <c:v>118.57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美国GDP与消费!$C$1</c:f>
              <c:strCache>
                <c:ptCount val="1"/>
                <c:pt idx="0">
                  <c:v>美国：GDP数量指数：个人消费支出：季调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美国GDP与消费!$A$18:$A$63</c:f>
              <c:numCache>
                <c:formatCode>General</c:formatCode>
                <c:ptCount val="46"/>
                <c:pt idx="0">
                  <c:v>1973</c:v>
                </c:pt>
                <c:pt idx="1">
                  <c:v>1974</c:v>
                </c:pt>
                <c:pt idx="2">
                  <c:v>1975</c:v>
                </c:pt>
                <c:pt idx="3">
                  <c:v>1976</c:v>
                </c:pt>
                <c:pt idx="4">
                  <c:v>1977</c:v>
                </c:pt>
                <c:pt idx="5">
                  <c:v>1978</c:v>
                </c:pt>
                <c:pt idx="6">
                  <c:v>1979</c:v>
                </c:pt>
                <c:pt idx="7">
                  <c:v>1980</c:v>
                </c:pt>
                <c:pt idx="8">
                  <c:v>1981</c:v>
                </c:pt>
                <c:pt idx="9">
                  <c:v>1982</c:v>
                </c:pt>
                <c:pt idx="10">
                  <c:v>1983</c:v>
                </c:pt>
                <c:pt idx="11">
                  <c:v>1984</c:v>
                </c:pt>
                <c:pt idx="12">
                  <c:v>1985</c:v>
                </c:pt>
                <c:pt idx="13">
                  <c:v>1986</c:v>
                </c:pt>
                <c:pt idx="14">
                  <c:v>1987</c:v>
                </c:pt>
                <c:pt idx="15">
                  <c:v>1988</c:v>
                </c:pt>
                <c:pt idx="16">
                  <c:v>1989</c:v>
                </c:pt>
                <c:pt idx="17">
                  <c:v>1990</c:v>
                </c:pt>
                <c:pt idx="18">
                  <c:v>1991</c:v>
                </c:pt>
                <c:pt idx="19">
                  <c:v>1992</c:v>
                </c:pt>
                <c:pt idx="20">
                  <c:v>1993</c:v>
                </c:pt>
                <c:pt idx="21">
                  <c:v>1994</c:v>
                </c:pt>
                <c:pt idx="22">
                  <c:v>1995</c:v>
                </c:pt>
                <c:pt idx="23">
                  <c:v>1996</c:v>
                </c:pt>
                <c:pt idx="24">
                  <c:v>1997</c:v>
                </c:pt>
                <c:pt idx="25">
                  <c:v>1998</c:v>
                </c:pt>
                <c:pt idx="26">
                  <c:v>1999</c:v>
                </c:pt>
                <c:pt idx="27">
                  <c:v>2000</c:v>
                </c:pt>
                <c:pt idx="28">
                  <c:v>2001</c:v>
                </c:pt>
                <c:pt idx="29">
                  <c:v>2002</c:v>
                </c:pt>
                <c:pt idx="30">
                  <c:v>2003</c:v>
                </c:pt>
                <c:pt idx="31">
                  <c:v>2004</c:v>
                </c:pt>
                <c:pt idx="32">
                  <c:v>2005</c:v>
                </c:pt>
                <c:pt idx="33">
                  <c:v>2006</c:v>
                </c:pt>
                <c:pt idx="34">
                  <c:v>2007</c:v>
                </c:pt>
                <c:pt idx="35">
                  <c:v>2008</c:v>
                </c:pt>
                <c:pt idx="36">
                  <c:v>2009</c:v>
                </c:pt>
                <c:pt idx="37">
                  <c:v>2010</c:v>
                </c:pt>
                <c:pt idx="38">
                  <c:v>2011</c:v>
                </c:pt>
                <c:pt idx="39">
                  <c:v>2012</c:v>
                </c:pt>
                <c:pt idx="40">
                  <c:v>2013</c:v>
                </c:pt>
                <c:pt idx="41">
                  <c:v>2014</c:v>
                </c:pt>
                <c:pt idx="42">
                  <c:v>2015</c:v>
                </c:pt>
                <c:pt idx="43">
                  <c:v>2016</c:v>
                </c:pt>
                <c:pt idx="44">
                  <c:v>2017</c:v>
                </c:pt>
                <c:pt idx="45">
                  <c:v>2018</c:v>
                </c:pt>
              </c:numCache>
            </c:numRef>
          </c:cat>
          <c:val>
            <c:numRef>
              <c:f>美国GDP与消费!$C$18:$C$63</c:f>
              <c:numCache>
                <c:formatCode>General</c:formatCode>
                <c:ptCount val="46"/>
                <c:pt idx="0">
                  <c:v>34.11</c:v>
                </c:pt>
                <c:pt idx="1">
                  <c:v>33.83</c:v>
                </c:pt>
                <c:pt idx="2">
                  <c:v>34.6</c:v>
                </c:pt>
                <c:pt idx="3">
                  <c:v>36.52</c:v>
                </c:pt>
                <c:pt idx="4">
                  <c:v>38.06</c:v>
                </c:pt>
                <c:pt idx="5">
                  <c:v>39.74</c:v>
                </c:pt>
                <c:pt idx="6">
                  <c:v>40.68</c:v>
                </c:pt>
                <c:pt idx="7">
                  <c:v>40.55</c:v>
                </c:pt>
                <c:pt idx="8">
                  <c:v>41.16</c:v>
                </c:pt>
                <c:pt idx="9">
                  <c:v>41.74</c:v>
                </c:pt>
                <c:pt idx="10">
                  <c:v>44.12</c:v>
                </c:pt>
                <c:pt idx="11">
                  <c:v>46.45</c:v>
                </c:pt>
                <c:pt idx="12">
                  <c:v>48.89</c:v>
                </c:pt>
                <c:pt idx="13">
                  <c:v>50.94</c:v>
                </c:pt>
                <c:pt idx="14">
                  <c:v>52.66</c:v>
                </c:pt>
                <c:pt idx="15">
                  <c:v>54.87</c:v>
                </c:pt>
                <c:pt idx="16">
                  <c:v>56.47</c:v>
                </c:pt>
                <c:pt idx="17">
                  <c:v>57.63</c:v>
                </c:pt>
                <c:pt idx="18">
                  <c:v>57.76</c:v>
                </c:pt>
                <c:pt idx="19">
                  <c:v>59.91</c:v>
                </c:pt>
                <c:pt idx="20">
                  <c:v>61.99</c:v>
                </c:pt>
                <c:pt idx="21">
                  <c:v>64.39</c:v>
                </c:pt>
                <c:pt idx="22">
                  <c:v>66.32</c:v>
                </c:pt>
                <c:pt idx="23">
                  <c:v>68.64</c:v>
                </c:pt>
                <c:pt idx="24">
                  <c:v>71.22</c:v>
                </c:pt>
                <c:pt idx="25">
                  <c:v>75.03</c:v>
                </c:pt>
                <c:pt idx="26">
                  <c:v>79.12</c:v>
                </c:pt>
                <c:pt idx="27">
                  <c:v>83.13</c:v>
                </c:pt>
                <c:pt idx="28">
                  <c:v>85.21</c:v>
                </c:pt>
                <c:pt idx="29">
                  <c:v>87.38</c:v>
                </c:pt>
                <c:pt idx="30">
                  <c:v>90.08</c:v>
                </c:pt>
                <c:pt idx="31">
                  <c:v>93.52</c:v>
                </c:pt>
                <c:pt idx="32">
                  <c:v>96.8</c:v>
                </c:pt>
                <c:pt idx="33">
                  <c:v>99.72</c:v>
                </c:pt>
                <c:pt idx="34">
                  <c:v>101.96</c:v>
                </c:pt>
                <c:pt idx="35">
                  <c:v>101.59</c:v>
                </c:pt>
                <c:pt idx="36">
                  <c:v>100</c:v>
                </c:pt>
                <c:pt idx="37">
                  <c:v>101.96</c:v>
                </c:pt>
                <c:pt idx="38">
                  <c:v>104.23</c:v>
                </c:pt>
                <c:pt idx="39">
                  <c:v>105.75</c:v>
                </c:pt>
                <c:pt idx="40">
                  <c:v>107.3</c:v>
                </c:pt>
                <c:pt idx="41">
                  <c:v>110.37</c:v>
                </c:pt>
                <c:pt idx="42">
                  <c:v>114.39</c:v>
                </c:pt>
                <c:pt idx="43">
                  <c:v>117.52</c:v>
                </c:pt>
                <c:pt idx="44">
                  <c:v>120.76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09837696"/>
        <c:axId val="126096512"/>
      </c:lineChart>
      <c:lineChart>
        <c:grouping val="standard"/>
        <c:varyColors val="0"/>
        <c:ser>
          <c:idx val="3"/>
          <c:order val="2"/>
          <c:tx>
            <c:strRef>
              <c:f>美国GDP与消费!$E$4</c:f>
              <c:strCache>
                <c:ptCount val="1"/>
                <c:pt idx="0">
                  <c:v>标准普尔500指数(右轴)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美国GDP与消费!$A$18:$A$63</c:f>
              <c:numCache>
                <c:formatCode>General</c:formatCode>
                <c:ptCount val="46"/>
                <c:pt idx="0">
                  <c:v>1973</c:v>
                </c:pt>
                <c:pt idx="1">
                  <c:v>1974</c:v>
                </c:pt>
                <c:pt idx="2">
                  <c:v>1975</c:v>
                </c:pt>
                <c:pt idx="3">
                  <c:v>1976</c:v>
                </c:pt>
                <c:pt idx="4">
                  <c:v>1977</c:v>
                </c:pt>
                <c:pt idx="5">
                  <c:v>1978</c:v>
                </c:pt>
                <c:pt idx="6">
                  <c:v>1979</c:v>
                </c:pt>
                <c:pt idx="7">
                  <c:v>1980</c:v>
                </c:pt>
                <c:pt idx="8">
                  <c:v>1981</c:v>
                </c:pt>
                <c:pt idx="9">
                  <c:v>1982</c:v>
                </c:pt>
                <c:pt idx="10">
                  <c:v>1983</c:v>
                </c:pt>
                <c:pt idx="11">
                  <c:v>1984</c:v>
                </c:pt>
                <c:pt idx="12">
                  <c:v>1985</c:v>
                </c:pt>
                <c:pt idx="13">
                  <c:v>1986</c:v>
                </c:pt>
                <c:pt idx="14">
                  <c:v>1987</c:v>
                </c:pt>
                <c:pt idx="15">
                  <c:v>1988</c:v>
                </c:pt>
                <c:pt idx="16">
                  <c:v>1989</c:v>
                </c:pt>
                <c:pt idx="17">
                  <c:v>1990</c:v>
                </c:pt>
                <c:pt idx="18">
                  <c:v>1991</c:v>
                </c:pt>
                <c:pt idx="19">
                  <c:v>1992</c:v>
                </c:pt>
                <c:pt idx="20">
                  <c:v>1993</c:v>
                </c:pt>
                <c:pt idx="21">
                  <c:v>1994</c:v>
                </c:pt>
                <c:pt idx="22">
                  <c:v>1995</c:v>
                </c:pt>
                <c:pt idx="23">
                  <c:v>1996</c:v>
                </c:pt>
                <c:pt idx="24">
                  <c:v>1997</c:v>
                </c:pt>
                <c:pt idx="25">
                  <c:v>1998</c:v>
                </c:pt>
                <c:pt idx="26">
                  <c:v>1999</c:v>
                </c:pt>
                <c:pt idx="27">
                  <c:v>2000</c:v>
                </c:pt>
                <c:pt idx="28">
                  <c:v>2001</c:v>
                </c:pt>
                <c:pt idx="29">
                  <c:v>2002</c:v>
                </c:pt>
                <c:pt idx="30">
                  <c:v>2003</c:v>
                </c:pt>
                <c:pt idx="31">
                  <c:v>2004</c:v>
                </c:pt>
                <c:pt idx="32">
                  <c:v>2005</c:v>
                </c:pt>
                <c:pt idx="33">
                  <c:v>2006</c:v>
                </c:pt>
                <c:pt idx="34">
                  <c:v>2007</c:v>
                </c:pt>
                <c:pt idx="35">
                  <c:v>2008</c:v>
                </c:pt>
                <c:pt idx="36">
                  <c:v>2009</c:v>
                </c:pt>
                <c:pt idx="37">
                  <c:v>2010</c:v>
                </c:pt>
                <c:pt idx="38">
                  <c:v>2011</c:v>
                </c:pt>
                <c:pt idx="39">
                  <c:v>2012</c:v>
                </c:pt>
                <c:pt idx="40">
                  <c:v>2013</c:v>
                </c:pt>
                <c:pt idx="41">
                  <c:v>2014</c:v>
                </c:pt>
                <c:pt idx="42">
                  <c:v>2015</c:v>
                </c:pt>
                <c:pt idx="43">
                  <c:v>2016</c:v>
                </c:pt>
                <c:pt idx="44">
                  <c:v>2017</c:v>
                </c:pt>
                <c:pt idx="45">
                  <c:v>2018</c:v>
                </c:pt>
              </c:numCache>
            </c:numRef>
          </c:cat>
          <c:val>
            <c:numRef>
              <c:f>美国GDP与消费!$E$18:$E$63</c:f>
              <c:numCache>
                <c:formatCode>#,##0.0000</c:formatCode>
                <c:ptCount val="46"/>
                <c:pt idx="0">
                  <c:v>97.55</c:v>
                </c:pt>
                <c:pt idx="1">
                  <c:v>68.56</c:v>
                </c:pt>
                <c:pt idx="2">
                  <c:v>90.19</c:v>
                </c:pt>
                <c:pt idx="3">
                  <c:v>107.46</c:v>
                </c:pt>
                <c:pt idx="4">
                  <c:v>95.1</c:v>
                </c:pt>
                <c:pt idx="5">
                  <c:v>96.11</c:v>
                </c:pt>
                <c:pt idx="6">
                  <c:v>107.94</c:v>
                </c:pt>
                <c:pt idx="7">
                  <c:v>135.76</c:v>
                </c:pt>
                <c:pt idx="8">
                  <c:v>122.55</c:v>
                </c:pt>
                <c:pt idx="9">
                  <c:v>140.64</c:v>
                </c:pt>
                <c:pt idx="10">
                  <c:v>164.93</c:v>
                </c:pt>
                <c:pt idx="11">
                  <c:v>167.24</c:v>
                </c:pt>
                <c:pt idx="12">
                  <c:v>211.28</c:v>
                </c:pt>
                <c:pt idx="13">
                  <c:v>242.17</c:v>
                </c:pt>
                <c:pt idx="14">
                  <c:v>247.08</c:v>
                </c:pt>
                <c:pt idx="15">
                  <c:v>277.72</c:v>
                </c:pt>
                <c:pt idx="16">
                  <c:v>353.4</c:v>
                </c:pt>
                <c:pt idx="17">
                  <c:v>330.22</c:v>
                </c:pt>
                <c:pt idx="18">
                  <c:v>417.09</c:v>
                </c:pt>
                <c:pt idx="19">
                  <c:v>435.71</c:v>
                </c:pt>
                <c:pt idx="20">
                  <c:v>466.45</c:v>
                </c:pt>
                <c:pt idx="21">
                  <c:v>459.27</c:v>
                </c:pt>
                <c:pt idx="22">
                  <c:v>615.929999999999</c:v>
                </c:pt>
                <c:pt idx="23">
                  <c:v>740.74</c:v>
                </c:pt>
                <c:pt idx="24">
                  <c:v>970.43</c:v>
                </c:pt>
                <c:pt idx="25">
                  <c:v>1229.23</c:v>
                </c:pt>
                <c:pt idx="26">
                  <c:v>1469.25</c:v>
                </c:pt>
                <c:pt idx="27">
                  <c:v>1320.28</c:v>
                </c:pt>
                <c:pt idx="28">
                  <c:v>1148.08</c:v>
                </c:pt>
                <c:pt idx="29">
                  <c:v>879.819999999999</c:v>
                </c:pt>
                <c:pt idx="30">
                  <c:v>1111.92</c:v>
                </c:pt>
                <c:pt idx="31">
                  <c:v>1211.92</c:v>
                </c:pt>
                <c:pt idx="32">
                  <c:v>1248.29</c:v>
                </c:pt>
                <c:pt idx="33">
                  <c:v>1418.3</c:v>
                </c:pt>
                <c:pt idx="34">
                  <c:v>1468.36</c:v>
                </c:pt>
                <c:pt idx="35">
                  <c:v>903.25</c:v>
                </c:pt>
                <c:pt idx="36">
                  <c:v>1115.1</c:v>
                </c:pt>
                <c:pt idx="37">
                  <c:v>1257.64</c:v>
                </c:pt>
                <c:pt idx="38">
                  <c:v>1257.6</c:v>
                </c:pt>
                <c:pt idx="39">
                  <c:v>1426.19</c:v>
                </c:pt>
                <c:pt idx="40">
                  <c:v>1842.61</c:v>
                </c:pt>
                <c:pt idx="41">
                  <c:v>2058.9</c:v>
                </c:pt>
                <c:pt idx="42">
                  <c:v>2043.94</c:v>
                </c:pt>
                <c:pt idx="43">
                  <c:v>2238.83</c:v>
                </c:pt>
                <c:pt idx="44">
                  <c:v>2673.61</c:v>
                </c:pt>
                <c:pt idx="45">
                  <c:v>2506.85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美国GDP与消费!$G$4</c:f>
              <c:strCache>
                <c:ptCount val="1"/>
                <c:pt idx="0">
                  <c:v>美国：人均可支配收入(十美元)(右轴)</c:v>
                </c:pt>
              </c:strCache>
            </c:strRef>
          </c:tx>
          <c:spPr>
            <a:ln w="28575" cap="rnd" cmpd="sng" algn="ctr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美国GDP与消费!$A$18:$A$63</c:f>
              <c:numCache>
                <c:formatCode>General</c:formatCode>
                <c:ptCount val="46"/>
                <c:pt idx="0">
                  <c:v>1973</c:v>
                </c:pt>
                <c:pt idx="1">
                  <c:v>1974</c:v>
                </c:pt>
                <c:pt idx="2">
                  <c:v>1975</c:v>
                </c:pt>
                <c:pt idx="3">
                  <c:v>1976</c:v>
                </c:pt>
                <c:pt idx="4">
                  <c:v>1977</c:v>
                </c:pt>
                <c:pt idx="5">
                  <c:v>1978</c:v>
                </c:pt>
                <c:pt idx="6">
                  <c:v>1979</c:v>
                </c:pt>
                <c:pt idx="7">
                  <c:v>1980</c:v>
                </c:pt>
                <c:pt idx="8">
                  <c:v>1981</c:v>
                </c:pt>
                <c:pt idx="9">
                  <c:v>1982</c:v>
                </c:pt>
                <c:pt idx="10">
                  <c:v>1983</c:v>
                </c:pt>
                <c:pt idx="11">
                  <c:v>1984</c:v>
                </c:pt>
                <c:pt idx="12">
                  <c:v>1985</c:v>
                </c:pt>
                <c:pt idx="13">
                  <c:v>1986</c:v>
                </c:pt>
                <c:pt idx="14">
                  <c:v>1987</c:v>
                </c:pt>
                <c:pt idx="15">
                  <c:v>1988</c:v>
                </c:pt>
                <c:pt idx="16">
                  <c:v>1989</c:v>
                </c:pt>
                <c:pt idx="17">
                  <c:v>1990</c:v>
                </c:pt>
                <c:pt idx="18">
                  <c:v>1991</c:v>
                </c:pt>
                <c:pt idx="19">
                  <c:v>1992</c:v>
                </c:pt>
                <c:pt idx="20">
                  <c:v>1993</c:v>
                </c:pt>
                <c:pt idx="21">
                  <c:v>1994</c:v>
                </c:pt>
                <c:pt idx="22">
                  <c:v>1995</c:v>
                </c:pt>
                <c:pt idx="23">
                  <c:v>1996</c:v>
                </c:pt>
                <c:pt idx="24">
                  <c:v>1997</c:v>
                </c:pt>
                <c:pt idx="25">
                  <c:v>1998</c:v>
                </c:pt>
                <c:pt idx="26">
                  <c:v>1999</c:v>
                </c:pt>
                <c:pt idx="27">
                  <c:v>2000</c:v>
                </c:pt>
                <c:pt idx="28">
                  <c:v>2001</c:v>
                </c:pt>
                <c:pt idx="29">
                  <c:v>2002</c:v>
                </c:pt>
                <c:pt idx="30">
                  <c:v>2003</c:v>
                </c:pt>
                <c:pt idx="31">
                  <c:v>2004</c:v>
                </c:pt>
                <c:pt idx="32">
                  <c:v>2005</c:v>
                </c:pt>
                <c:pt idx="33">
                  <c:v>2006</c:v>
                </c:pt>
                <c:pt idx="34">
                  <c:v>2007</c:v>
                </c:pt>
                <c:pt idx="35">
                  <c:v>2008</c:v>
                </c:pt>
                <c:pt idx="36">
                  <c:v>2009</c:v>
                </c:pt>
                <c:pt idx="37">
                  <c:v>2010</c:v>
                </c:pt>
                <c:pt idx="38">
                  <c:v>2011</c:v>
                </c:pt>
                <c:pt idx="39">
                  <c:v>2012</c:v>
                </c:pt>
                <c:pt idx="40">
                  <c:v>2013</c:v>
                </c:pt>
                <c:pt idx="41">
                  <c:v>2014</c:v>
                </c:pt>
                <c:pt idx="42">
                  <c:v>2015</c:v>
                </c:pt>
                <c:pt idx="43">
                  <c:v>2016</c:v>
                </c:pt>
                <c:pt idx="44">
                  <c:v>2017</c:v>
                </c:pt>
                <c:pt idx="45">
                  <c:v>2018</c:v>
                </c:pt>
              </c:numCache>
            </c:numRef>
          </c:cat>
          <c:val>
            <c:numRef>
              <c:f>美国GDP与消费!$G$18:$G$63</c:f>
              <c:numCache>
                <c:formatCode>General</c:formatCode>
                <c:ptCount val="46"/>
                <c:pt idx="0">
                  <c:v>479.9</c:v>
                </c:pt>
                <c:pt idx="1">
                  <c:v>516.8</c:v>
                </c:pt>
                <c:pt idx="2">
                  <c:v>567.8</c:v>
                </c:pt>
                <c:pt idx="3">
                  <c:v>614.9</c:v>
                </c:pt>
                <c:pt idx="4">
                  <c:v>680</c:v>
                </c:pt>
                <c:pt idx="5">
                  <c:v>748.3</c:v>
                </c:pt>
                <c:pt idx="6">
                  <c:v>827.2</c:v>
                </c:pt>
                <c:pt idx="7">
                  <c:v>922.7</c:v>
                </c:pt>
                <c:pt idx="8">
                  <c:v>1004.1</c:v>
                </c:pt>
                <c:pt idx="9">
                  <c:v>1061.2</c:v>
                </c:pt>
                <c:pt idx="10">
                  <c:v>1148.5</c:v>
                </c:pt>
                <c:pt idx="11">
                  <c:v>1255.6</c:v>
                </c:pt>
                <c:pt idx="12">
                  <c:v>1312.8</c:v>
                </c:pt>
                <c:pt idx="13">
                  <c:v>1369.8</c:v>
                </c:pt>
                <c:pt idx="14">
                  <c:v>1452.9</c:v>
                </c:pt>
                <c:pt idx="15">
                  <c:v>1559.1</c:v>
                </c:pt>
                <c:pt idx="16">
                  <c:v>1639.1</c:v>
                </c:pt>
                <c:pt idx="17">
                  <c:v>1718.4</c:v>
                </c:pt>
                <c:pt idx="18">
                  <c:v>1777.5</c:v>
                </c:pt>
                <c:pt idx="19">
                  <c:v>1879.4</c:v>
                </c:pt>
                <c:pt idx="20">
                  <c:v>1925.5</c:v>
                </c:pt>
                <c:pt idx="21">
                  <c:v>2011.4</c:v>
                </c:pt>
                <c:pt idx="22">
                  <c:v>2068.2</c:v>
                </c:pt>
                <c:pt idx="23">
                  <c:v>2168.3</c:v>
                </c:pt>
                <c:pt idx="24">
                  <c:v>2265.6</c:v>
                </c:pt>
                <c:pt idx="25">
                  <c:v>2387</c:v>
                </c:pt>
                <c:pt idx="26">
                  <c:v>2482.3</c:v>
                </c:pt>
                <c:pt idx="27">
                  <c:v>2628.7</c:v>
                </c:pt>
                <c:pt idx="28">
                  <c:v>2684</c:v>
                </c:pt>
                <c:pt idx="29">
                  <c:v>2797.6</c:v>
                </c:pt>
                <c:pt idx="30">
                  <c:v>2935.3</c:v>
                </c:pt>
                <c:pt idx="31">
                  <c:v>3102.6</c:v>
                </c:pt>
                <c:pt idx="32">
                  <c:v>3193.4</c:v>
                </c:pt>
                <c:pt idx="33">
                  <c:v>3371</c:v>
                </c:pt>
                <c:pt idx="34">
                  <c:v>3508.1</c:v>
                </c:pt>
                <c:pt idx="35">
                  <c:v>3572.2</c:v>
                </c:pt>
                <c:pt idx="36">
                  <c:v>3507.1</c:v>
                </c:pt>
                <c:pt idx="37">
                  <c:v>3649.1</c:v>
                </c:pt>
                <c:pt idx="38">
                  <c:v>3706.4</c:v>
                </c:pt>
                <c:pt idx="39">
                  <c:v>3882.2</c:v>
                </c:pt>
                <c:pt idx="40">
                  <c:v>3972.6</c:v>
                </c:pt>
                <c:pt idx="41">
                  <c:v>4096.2</c:v>
                </c:pt>
                <c:pt idx="42">
                  <c:v>4253.7</c:v>
                </c:pt>
                <c:pt idx="43">
                  <c:v>4328</c:v>
                </c:pt>
                <c:pt idx="44">
                  <c:v>4598.3</c:v>
                </c:pt>
                <c:pt idx="45">
                  <c:v>4742.1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27225856"/>
        <c:axId val="126098816"/>
      </c:lineChart>
      <c:catAx>
        <c:axId val="109837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6096512"/>
        <c:crosses val="autoZero"/>
        <c:auto val="1"/>
        <c:lblAlgn val="ctr"/>
        <c:lblOffset val="100"/>
        <c:noMultiLvlLbl val="0"/>
      </c:catAx>
      <c:valAx>
        <c:axId val="126096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9837696"/>
        <c:crosses val="autoZero"/>
        <c:crossBetween val="between"/>
      </c:valAx>
      <c:catAx>
        <c:axId val="127225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6098816"/>
        <c:crosses val="autoZero"/>
        <c:auto val="1"/>
        <c:lblAlgn val="ctr"/>
        <c:lblOffset val="100"/>
        <c:noMultiLvlLbl val="0"/>
      </c:catAx>
      <c:valAx>
        <c:axId val="126098816"/>
        <c:scaling>
          <c:orientation val="minMax"/>
          <c:max val="5000"/>
        </c:scaling>
        <c:delete val="0"/>
        <c:axPos val="r"/>
        <c:numFmt formatCode="#,##0.00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7225856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649242344706912"/>
          <c:y val="0.150858486439196"/>
          <c:w val="0.338636443171877"/>
          <c:h val="0.726060804899388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tx>
            <c:strRef>
              <c:f>美国GDP与消费!$D$1</c:f>
              <c:strCache>
                <c:ptCount val="1"/>
                <c:pt idx="0">
                  <c:v>美国：GDP同比贡献率：个人消费支出：季调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美国GDP与消费!$A$21:$A$63</c:f>
              <c:numCache>
                <c:formatCode>General</c:formatCode>
                <c:ptCount val="43"/>
                <c:pt idx="0">
                  <c:v>1976</c:v>
                </c:pt>
                <c:pt idx="1">
                  <c:v>1977</c:v>
                </c:pt>
                <c:pt idx="2">
                  <c:v>1978</c:v>
                </c:pt>
                <c:pt idx="3">
                  <c:v>1979</c:v>
                </c:pt>
                <c:pt idx="4">
                  <c:v>1980</c:v>
                </c:pt>
                <c:pt idx="5">
                  <c:v>1981</c:v>
                </c:pt>
                <c:pt idx="6">
                  <c:v>1982</c:v>
                </c:pt>
                <c:pt idx="7">
                  <c:v>1983</c:v>
                </c:pt>
                <c:pt idx="8">
                  <c:v>1984</c:v>
                </c:pt>
                <c:pt idx="9">
                  <c:v>1985</c:v>
                </c:pt>
                <c:pt idx="10">
                  <c:v>1986</c:v>
                </c:pt>
                <c:pt idx="11">
                  <c:v>1987</c:v>
                </c:pt>
                <c:pt idx="12">
                  <c:v>1988</c:v>
                </c:pt>
                <c:pt idx="13">
                  <c:v>1989</c:v>
                </c:pt>
                <c:pt idx="14">
                  <c:v>1990</c:v>
                </c:pt>
                <c:pt idx="15">
                  <c:v>1991</c:v>
                </c:pt>
                <c:pt idx="16">
                  <c:v>1992</c:v>
                </c:pt>
                <c:pt idx="17">
                  <c:v>1993</c:v>
                </c:pt>
                <c:pt idx="18">
                  <c:v>1994</c:v>
                </c:pt>
                <c:pt idx="19">
                  <c:v>1995</c:v>
                </c:pt>
                <c:pt idx="20">
                  <c:v>1996</c:v>
                </c:pt>
                <c:pt idx="21">
                  <c:v>1997</c:v>
                </c:pt>
                <c:pt idx="22">
                  <c:v>1998</c:v>
                </c:pt>
                <c:pt idx="23">
                  <c:v>1999</c:v>
                </c:pt>
                <c:pt idx="24">
                  <c:v>2000</c:v>
                </c:pt>
                <c:pt idx="25">
                  <c:v>2001</c:v>
                </c:pt>
                <c:pt idx="26">
                  <c:v>2002</c:v>
                </c:pt>
                <c:pt idx="27">
                  <c:v>2003</c:v>
                </c:pt>
                <c:pt idx="28">
                  <c:v>2004</c:v>
                </c:pt>
                <c:pt idx="29">
                  <c:v>2005</c:v>
                </c:pt>
                <c:pt idx="30">
                  <c:v>2006</c:v>
                </c:pt>
                <c:pt idx="31">
                  <c:v>2007</c:v>
                </c:pt>
                <c:pt idx="32">
                  <c:v>2008</c:v>
                </c:pt>
                <c:pt idx="33">
                  <c:v>2009</c:v>
                </c:pt>
                <c:pt idx="34">
                  <c:v>2010</c:v>
                </c:pt>
                <c:pt idx="35">
                  <c:v>2011</c:v>
                </c:pt>
                <c:pt idx="36">
                  <c:v>2012</c:v>
                </c:pt>
                <c:pt idx="37">
                  <c:v>2013</c:v>
                </c:pt>
                <c:pt idx="38">
                  <c:v>2014</c:v>
                </c:pt>
                <c:pt idx="39">
                  <c:v>2015</c:v>
                </c:pt>
                <c:pt idx="40">
                  <c:v>2016</c:v>
                </c:pt>
                <c:pt idx="41">
                  <c:v>2017</c:v>
                </c:pt>
                <c:pt idx="42">
                  <c:v>2018</c:v>
                </c:pt>
              </c:numCache>
            </c:numRef>
          </c:cat>
          <c:val>
            <c:numRef>
              <c:f>美国GDP与消费!$D$21:$D$63</c:f>
              <c:numCache>
                <c:formatCode>General</c:formatCode>
                <c:ptCount val="43"/>
                <c:pt idx="0">
                  <c:v>3.41</c:v>
                </c:pt>
                <c:pt idx="1">
                  <c:v>2.59</c:v>
                </c:pt>
                <c:pt idx="2">
                  <c:v>2.69</c:v>
                </c:pt>
                <c:pt idx="3">
                  <c:v>1.44</c:v>
                </c:pt>
                <c:pt idx="4">
                  <c:v>-0.19</c:v>
                </c:pt>
                <c:pt idx="5">
                  <c:v>0.91</c:v>
                </c:pt>
                <c:pt idx="6">
                  <c:v>0.860000000000001</c:v>
                </c:pt>
                <c:pt idx="7">
                  <c:v>3.54</c:v>
                </c:pt>
                <c:pt idx="8">
                  <c:v>3.32</c:v>
                </c:pt>
                <c:pt idx="9">
                  <c:v>3.25</c:v>
                </c:pt>
                <c:pt idx="10">
                  <c:v>2.63</c:v>
                </c:pt>
                <c:pt idx="11">
                  <c:v>2.14</c:v>
                </c:pt>
                <c:pt idx="12">
                  <c:v>2.66</c:v>
                </c:pt>
                <c:pt idx="13">
                  <c:v>1.86</c:v>
                </c:pt>
                <c:pt idx="14">
                  <c:v>1.31</c:v>
                </c:pt>
                <c:pt idx="15">
                  <c:v>0.15</c:v>
                </c:pt>
                <c:pt idx="16">
                  <c:v>2.38</c:v>
                </c:pt>
                <c:pt idx="17">
                  <c:v>2.24</c:v>
                </c:pt>
                <c:pt idx="18">
                  <c:v>2.52</c:v>
                </c:pt>
                <c:pt idx="19">
                  <c:v>1.94</c:v>
                </c:pt>
                <c:pt idx="20">
                  <c:v>2.28</c:v>
                </c:pt>
                <c:pt idx="21">
                  <c:v>2.45</c:v>
                </c:pt>
                <c:pt idx="22">
                  <c:v>3.45</c:v>
                </c:pt>
                <c:pt idx="23">
                  <c:v>3.44</c:v>
                </c:pt>
                <c:pt idx="24">
                  <c:v>3.32</c:v>
                </c:pt>
                <c:pt idx="25">
                  <c:v>1.71</c:v>
                </c:pt>
                <c:pt idx="26">
                  <c:v>1.72</c:v>
                </c:pt>
                <c:pt idx="27">
                  <c:v>2.1</c:v>
                </c:pt>
                <c:pt idx="28">
                  <c:v>2.59</c:v>
                </c:pt>
                <c:pt idx="29">
                  <c:v>2.36</c:v>
                </c:pt>
                <c:pt idx="30">
                  <c:v>2.04</c:v>
                </c:pt>
                <c:pt idx="31">
                  <c:v>1.5</c:v>
                </c:pt>
                <c:pt idx="32">
                  <c:v>-0.23</c:v>
                </c:pt>
                <c:pt idx="33">
                  <c:v>-1.08</c:v>
                </c:pt>
                <c:pt idx="34">
                  <c:v>1.32</c:v>
                </c:pt>
                <c:pt idx="35">
                  <c:v>1.55</c:v>
                </c:pt>
                <c:pt idx="36">
                  <c:v>1.01</c:v>
                </c:pt>
                <c:pt idx="37">
                  <c:v>1</c:v>
                </c:pt>
                <c:pt idx="38">
                  <c:v>1.95</c:v>
                </c:pt>
                <c:pt idx="39">
                  <c:v>2.47</c:v>
                </c:pt>
                <c:pt idx="40">
                  <c:v>1.86</c:v>
                </c:pt>
                <c:pt idx="41">
                  <c:v>1.89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11863808"/>
        <c:axId val="229351424"/>
      </c:lineChart>
      <c:lineChart>
        <c:grouping val="standard"/>
        <c:varyColors val="0"/>
        <c:ser>
          <c:idx val="0"/>
          <c:order val="1"/>
          <c:tx>
            <c:strRef>
              <c:f>美国GDP与消费!$F$4</c:f>
              <c:strCache>
                <c:ptCount val="1"/>
                <c:pt idx="0">
                  <c:v>标普指数同比值(右轴)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美国GDP与消费!$A$21:$A$63</c:f>
              <c:numCache>
                <c:formatCode>General</c:formatCode>
                <c:ptCount val="43"/>
                <c:pt idx="0">
                  <c:v>1976</c:v>
                </c:pt>
                <c:pt idx="1">
                  <c:v>1977</c:v>
                </c:pt>
                <c:pt idx="2">
                  <c:v>1978</c:v>
                </c:pt>
                <c:pt idx="3">
                  <c:v>1979</c:v>
                </c:pt>
                <c:pt idx="4">
                  <c:v>1980</c:v>
                </c:pt>
                <c:pt idx="5">
                  <c:v>1981</c:v>
                </c:pt>
                <c:pt idx="6">
                  <c:v>1982</c:v>
                </c:pt>
                <c:pt idx="7">
                  <c:v>1983</c:v>
                </c:pt>
                <c:pt idx="8">
                  <c:v>1984</c:v>
                </c:pt>
                <c:pt idx="9">
                  <c:v>1985</c:v>
                </c:pt>
                <c:pt idx="10">
                  <c:v>1986</c:v>
                </c:pt>
                <c:pt idx="11">
                  <c:v>1987</c:v>
                </c:pt>
                <c:pt idx="12">
                  <c:v>1988</c:v>
                </c:pt>
                <c:pt idx="13">
                  <c:v>1989</c:v>
                </c:pt>
                <c:pt idx="14">
                  <c:v>1990</c:v>
                </c:pt>
                <c:pt idx="15">
                  <c:v>1991</c:v>
                </c:pt>
                <c:pt idx="16">
                  <c:v>1992</c:v>
                </c:pt>
                <c:pt idx="17">
                  <c:v>1993</c:v>
                </c:pt>
                <c:pt idx="18">
                  <c:v>1994</c:v>
                </c:pt>
                <c:pt idx="19">
                  <c:v>1995</c:v>
                </c:pt>
                <c:pt idx="20">
                  <c:v>1996</c:v>
                </c:pt>
                <c:pt idx="21">
                  <c:v>1997</c:v>
                </c:pt>
                <c:pt idx="22">
                  <c:v>1998</c:v>
                </c:pt>
                <c:pt idx="23">
                  <c:v>1999</c:v>
                </c:pt>
                <c:pt idx="24">
                  <c:v>2000</c:v>
                </c:pt>
                <c:pt idx="25">
                  <c:v>2001</c:v>
                </c:pt>
                <c:pt idx="26">
                  <c:v>2002</c:v>
                </c:pt>
                <c:pt idx="27">
                  <c:v>2003</c:v>
                </c:pt>
                <c:pt idx="28">
                  <c:v>2004</c:v>
                </c:pt>
                <c:pt idx="29">
                  <c:v>2005</c:v>
                </c:pt>
                <c:pt idx="30">
                  <c:v>2006</c:v>
                </c:pt>
                <c:pt idx="31">
                  <c:v>2007</c:v>
                </c:pt>
                <c:pt idx="32">
                  <c:v>2008</c:v>
                </c:pt>
                <c:pt idx="33">
                  <c:v>2009</c:v>
                </c:pt>
                <c:pt idx="34">
                  <c:v>2010</c:v>
                </c:pt>
                <c:pt idx="35">
                  <c:v>2011</c:v>
                </c:pt>
                <c:pt idx="36">
                  <c:v>2012</c:v>
                </c:pt>
                <c:pt idx="37">
                  <c:v>2013</c:v>
                </c:pt>
                <c:pt idx="38">
                  <c:v>2014</c:v>
                </c:pt>
                <c:pt idx="39">
                  <c:v>2015</c:v>
                </c:pt>
                <c:pt idx="40">
                  <c:v>2016</c:v>
                </c:pt>
                <c:pt idx="41">
                  <c:v>2017</c:v>
                </c:pt>
                <c:pt idx="42">
                  <c:v>2018</c:v>
                </c:pt>
              </c:numCache>
            </c:numRef>
          </c:cat>
          <c:val>
            <c:numRef>
              <c:f>美国GDP与消费!$F$21:$F$63</c:f>
              <c:numCache>
                <c:formatCode>#,##0.0000</c:formatCode>
                <c:ptCount val="43"/>
                <c:pt idx="0">
                  <c:v>17.27</c:v>
                </c:pt>
                <c:pt idx="1">
                  <c:v>-12.36</c:v>
                </c:pt>
                <c:pt idx="2">
                  <c:v>1.01000000000001</c:v>
                </c:pt>
                <c:pt idx="3">
                  <c:v>11.83</c:v>
                </c:pt>
                <c:pt idx="4">
                  <c:v>27.82</c:v>
                </c:pt>
                <c:pt idx="5">
                  <c:v>-13.21</c:v>
                </c:pt>
                <c:pt idx="6">
                  <c:v>18.09</c:v>
                </c:pt>
                <c:pt idx="7">
                  <c:v>24.29</c:v>
                </c:pt>
                <c:pt idx="8">
                  <c:v>2.31</c:v>
                </c:pt>
                <c:pt idx="9">
                  <c:v>44.04</c:v>
                </c:pt>
                <c:pt idx="10">
                  <c:v>30.89</c:v>
                </c:pt>
                <c:pt idx="11">
                  <c:v>4.91000000000003</c:v>
                </c:pt>
                <c:pt idx="12">
                  <c:v>30.64</c:v>
                </c:pt>
                <c:pt idx="13">
                  <c:v>75.6799999999999</c:v>
                </c:pt>
                <c:pt idx="14">
                  <c:v>-23.1799999999999</c:v>
                </c:pt>
                <c:pt idx="15">
                  <c:v>86.87</c:v>
                </c:pt>
                <c:pt idx="16">
                  <c:v>18.62</c:v>
                </c:pt>
                <c:pt idx="17">
                  <c:v>30.74</c:v>
                </c:pt>
                <c:pt idx="18">
                  <c:v>-7.18000000000001</c:v>
                </c:pt>
                <c:pt idx="19">
                  <c:v>156.66</c:v>
                </c:pt>
                <c:pt idx="20">
                  <c:v>124.81</c:v>
                </c:pt>
                <c:pt idx="21">
                  <c:v>229.69</c:v>
                </c:pt>
                <c:pt idx="22">
                  <c:v>258.8</c:v>
                </c:pt>
                <c:pt idx="23">
                  <c:v>240.02</c:v>
                </c:pt>
                <c:pt idx="24">
                  <c:v>-148.97</c:v>
                </c:pt>
                <c:pt idx="25">
                  <c:v>-172.2</c:v>
                </c:pt>
                <c:pt idx="26">
                  <c:v>-268.26</c:v>
                </c:pt>
                <c:pt idx="27">
                  <c:v>232.1</c:v>
                </c:pt>
                <c:pt idx="28">
                  <c:v>100</c:v>
                </c:pt>
                <c:pt idx="29">
                  <c:v>36.3699999999999</c:v>
                </c:pt>
                <c:pt idx="30">
                  <c:v>170.01</c:v>
                </c:pt>
                <c:pt idx="31">
                  <c:v>50.06</c:v>
                </c:pt>
                <c:pt idx="32">
                  <c:v>-565.11</c:v>
                </c:pt>
                <c:pt idx="33">
                  <c:v>211.85</c:v>
                </c:pt>
                <c:pt idx="34">
                  <c:v>142.54</c:v>
                </c:pt>
                <c:pt idx="35">
                  <c:v>-0.040000000000191</c:v>
                </c:pt>
                <c:pt idx="36">
                  <c:v>168.59</c:v>
                </c:pt>
                <c:pt idx="37">
                  <c:v>416.419999999999</c:v>
                </c:pt>
                <c:pt idx="38">
                  <c:v>216.29</c:v>
                </c:pt>
                <c:pt idx="39">
                  <c:v>-14.96</c:v>
                </c:pt>
                <c:pt idx="40">
                  <c:v>194.89</c:v>
                </c:pt>
                <c:pt idx="41">
                  <c:v>434.78</c:v>
                </c:pt>
                <c:pt idx="42">
                  <c:v>-166.76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34134528"/>
        <c:axId val="233913344"/>
      </c:lineChart>
      <c:catAx>
        <c:axId val="211863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29351424"/>
        <c:crosses val="autoZero"/>
        <c:auto val="1"/>
        <c:lblAlgn val="ctr"/>
        <c:lblOffset val="100"/>
        <c:noMultiLvlLbl val="0"/>
      </c:catAx>
      <c:valAx>
        <c:axId val="229351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11863808"/>
        <c:crosses val="autoZero"/>
        <c:crossBetween val="between"/>
      </c:valAx>
      <c:catAx>
        <c:axId val="234134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3913344"/>
        <c:crosses val="autoZero"/>
        <c:auto val="1"/>
        <c:lblAlgn val="ctr"/>
        <c:lblOffset val="100"/>
        <c:noMultiLvlLbl val="0"/>
      </c:catAx>
      <c:valAx>
        <c:axId val="233913344"/>
        <c:scaling>
          <c:orientation val="minMax"/>
        </c:scaling>
        <c:delete val="0"/>
        <c:axPos val="r"/>
        <c:numFmt formatCode="#,##0.00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4134528"/>
        <c:crosses val="max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19142607174104"/>
          <c:y val="0.0509259259259259"/>
          <c:w val="0.877530183727032"/>
          <c:h val="0.58992106476006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中国GDP与服务业!$F$1</c:f>
              <c:strCache>
                <c:ptCount val="1"/>
                <c:pt idx="0">
                  <c:v>成交量：沪深指数(亿股)(右轴)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中国GDP与服务业!$A$5:$A$26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中国GDP与服务业!$F$5:$F$26</c:f>
              <c:numCache>
                <c:formatCode>General</c:formatCode>
                <c:ptCount val="22"/>
                <c:pt idx="0">
                  <c:v>28.97</c:v>
                </c:pt>
                <c:pt idx="1">
                  <c:v>27.69</c:v>
                </c:pt>
                <c:pt idx="2">
                  <c:v>111.92</c:v>
                </c:pt>
                <c:pt idx="3">
                  <c:v>96.61</c:v>
                </c:pt>
                <c:pt idx="4">
                  <c:v>69.02</c:v>
                </c:pt>
                <c:pt idx="5">
                  <c:v>121.78</c:v>
                </c:pt>
                <c:pt idx="6">
                  <c:v>101.35</c:v>
                </c:pt>
                <c:pt idx="7">
                  <c:v>69.04</c:v>
                </c:pt>
                <c:pt idx="8">
                  <c:v>79.95</c:v>
                </c:pt>
                <c:pt idx="9">
                  <c:v>152.72</c:v>
                </c:pt>
                <c:pt idx="10">
                  <c:v>302.04</c:v>
                </c:pt>
                <c:pt idx="11">
                  <c:v>262.34</c:v>
                </c:pt>
                <c:pt idx="12">
                  <c:v>386.16</c:v>
                </c:pt>
                <c:pt idx="13">
                  <c:v>388.11</c:v>
                </c:pt>
                <c:pt idx="14">
                  <c:v>259.27</c:v>
                </c:pt>
                <c:pt idx="15">
                  <c:v>302.98</c:v>
                </c:pt>
                <c:pt idx="16">
                  <c:v>395.35</c:v>
                </c:pt>
                <c:pt idx="17">
                  <c:v>1284.11</c:v>
                </c:pt>
                <c:pt idx="18">
                  <c:v>1683.82</c:v>
                </c:pt>
                <c:pt idx="19">
                  <c:v>690.52</c:v>
                </c:pt>
                <c:pt idx="20">
                  <c:v>570.429999999999</c:v>
                </c:pt>
                <c:pt idx="21">
                  <c:v>603.1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732992"/>
        <c:axId val="239731456"/>
      </c:barChart>
      <c:lineChart>
        <c:grouping val="standard"/>
        <c:varyColors val="0"/>
        <c:ser>
          <c:idx val="0"/>
          <c:order val="0"/>
          <c:tx>
            <c:strRef>
              <c:f>中国GDP与服务业!$E$1</c:f>
              <c:strCache>
                <c:ptCount val="1"/>
                <c:pt idx="0">
                  <c:v>GDP增长贡献率：第三产业(%)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中国GDP与服务业!$A$5:$A$26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中国GDP与服务业!$E$5:$E$25</c:f>
              <c:numCache>
                <c:formatCode>General</c:formatCode>
                <c:ptCount val="21"/>
                <c:pt idx="0">
                  <c:v>34.5</c:v>
                </c:pt>
                <c:pt idx="1">
                  <c:v>33</c:v>
                </c:pt>
                <c:pt idx="2">
                  <c:v>37.4</c:v>
                </c:pt>
                <c:pt idx="3">
                  <c:v>36.2</c:v>
                </c:pt>
                <c:pt idx="4">
                  <c:v>49</c:v>
                </c:pt>
                <c:pt idx="5">
                  <c:v>46.5</c:v>
                </c:pt>
                <c:pt idx="6">
                  <c:v>39</c:v>
                </c:pt>
                <c:pt idx="7">
                  <c:v>40.8</c:v>
                </c:pt>
                <c:pt idx="8">
                  <c:v>44.3</c:v>
                </c:pt>
                <c:pt idx="9">
                  <c:v>45.9</c:v>
                </c:pt>
                <c:pt idx="10">
                  <c:v>47.3</c:v>
                </c:pt>
                <c:pt idx="11">
                  <c:v>46.2</c:v>
                </c:pt>
                <c:pt idx="12">
                  <c:v>43.7</c:v>
                </c:pt>
                <c:pt idx="13">
                  <c:v>39</c:v>
                </c:pt>
                <c:pt idx="14">
                  <c:v>43.8</c:v>
                </c:pt>
                <c:pt idx="15">
                  <c:v>44.9</c:v>
                </c:pt>
                <c:pt idx="16">
                  <c:v>47.2</c:v>
                </c:pt>
                <c:pt idx="17">
                  <c:v>47.5</c:v>
                </c:pt>
                <c:pt idx="18">
                  <c:v>52.9</c:v>
                </c:pt>
                <c:pt idx="19">
                  <c:v>57.5</c:v>
                </c:pt>
                <c:pt idx="20">
                  <c:v>58.8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39317760"/>
        <c:axId val="239320064"/>
      </c:lineChart>
      <c:lineChart>
        <c:grouping val="standard"/>
        <c:varyColors val="0"/>
        <c:ser>
          <c:idx val="2"/>
          <c:order val="2"/>
          <c:tx>
            <c:strRef>
              <c:f>中国GDP与服务业!$G$1</c:f>
              <c:strCache>
                <c:ptCount val="1"/>
                <c:pt idx="0">
                  <c:v>上证综合指数(右轴）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中国GDP与服务业!$A$5:$A$26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中国GDP与服务业!$G$5:$G$26</c:f>
              <c:numCache>
                <c:formatCode>General</c:formatCode>
                <c:ptCount val="22"/>
                <c:pt idx="0">
                  <c:v>1500.4</c:v>
                </c:pt>
                <c:pt idx="1">
                  <c:v>1420</c:v>
                </c:pt>
                <c:pt idx="2">
                  <c:v>1739.2</c:v>
                </c:pt>
                <c:pt idx="3">
                  <c:v>2242.42</c:v>
                </c:pt>
                <c:pt idx="4">
                  <c:v>2242.42</c:v>
                </c:pt>
                <c:pt idx="5">
                  <c:v>1732.93</c:v>
                </c:pt>
                <c:pt idx="6">
                  <c:v>1631.47</c:v>
                </c:pt>
                <c:pt idx="7">
                  <c:v>1777.52</c:v>
                </c:pt>
                <c:pt idx="8">
                  <c:v>1318.27</c:v>
                </c:pt>
                <c:pt idx="9">
                  <c:v>2675.47</c:v>
                </c:pt>
                <c:pt idx="10">
                  <c:v>6092.06</c:v>
                </c:pt>
                <c:pt idx="11">
                  <c:v>5497.9</c:v>
                </c:pt>
                <c:pt idx="12">
                  <c:v>3471.44</c:v>
                </c:pt>
                <c:pt idx="13">
                  <c:v>3282.18</c:v>
                </c:pt>
                <c:pt idx="14">
                  <c:v>3057.33</c:v>
                </c:pt>
                <c:pt idx="15">
                  <c:v>2460.69</c:v>
                </c:pt>
                <c:pt idx="16">
                  <c:v>2434.48</c:v>
                </c:pt>
                <c:pt idx="17">
                  <c:v>3234.68</c:v>
                </c:pt>
                <c:pt idx="18">
                  <c:v>5166.35</c:v>
                </c:pt>
                <c:pt idx="19">
                  <c:v>3361.84</c:v>
                </c:pt>
                <c:pt idx="20">
                  <c:v>3447.84</c:v>
                </c:pt>
                <c:pt idx="21">
                  <c:v>3559.47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39732992"/>
        <c:axId val="239731456"/>
      </c:lineChart>
      <c:catAx>
        <c:axId val="23931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9320064"/>
        <c:crosses val="autoZero"/>
        <c:auto val="1"/>
        <c:lblAlgn val="ctr"/>
        <c:lblOffset val="100"/>
        <c:noMultiLvlLbl val="0"/>
      </c:catAx>
      <c:valAx>
        <c:axId val="239320064"/>
        <c:scaling>
          <c:orientation val="minMax"/>
          <c:min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9317760"/>
        <c:crosses val="autoZero"/>
        <c:crossBetween val="between"/>
      </c:valAx>
      <c:catAx>
        <c:axId val="239732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9731456"/>
        <c:crosses val="autoZero"/>
        <c:auto val="1"/>
        <c:lblAlgn val="ctr"/>
        <c:lblOffset val="100"/>
        <c:noMultiLvlLbl val="0"/>
      </c:catAx>
      <c:valAx>
        <c:axId val="239731456"/>
        <c:scaling>
          <c:orientation val="minMax"/>
          <c:max val="70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973299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27777777777778"/>
          <c:y val="0.846838363954506"/>
          <c:w val="0.972222294960054"/>
          <c:h val="0.1531616360454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1"/>
          <c:tx>
            <c:strRef>
              <c:f>'[副本内参190306用图.xlsx]服务业6-12月均与上证'!$P$1</c:f>
              <c:strCache>
                <c:ptCount val="1"/>
                <c:pt idx="0">
                  <c:v>PMIq-居民服务-状况(12月同比值)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'[副本内参190306用图.xlsx]服务业6-12月均与上证'!$N$2:$N$136</c:f>
              <c:numCache>
                <c:formatCode>General</c:formatCode>
                <c:ptCount val="135"/>
                <c:pt idx="0">
                  <c:v>712</c:v>
                </c:pt>
                <c:pt idx="1">
                  <c:v>801</c:v>
                </c:pt>
                <c:pt idx="2">
                  <c:v>802</c:v>
                </c:pt>
                <c:pt idx="3">
                  <c:v>803</c:v>
                </c:pt>
                <c:pt idx="4">
                  <c:v>804</c:v>
                </c:pt>
                <c:pt idx="5">
                  <c:v>805</c:v>
                </c:pt>
                <c:pt idx="6">
                  <c:v>806</c:v>
                </c:pt>
                <c:pt idx="7">
                  <c:v>807</c:v>
                </c:pt>
                <c:pt idx="8">
                  <c:v>808</c:v>
                </c:pt>
                <c:pt idx="9">
                  <c:v>809</c:v>
                </c:pt>
                <c:pt idx="10">
                  <c:v>810</c:v>
                </c:pt>
                <c:pt idx="11">
                  <c:v>811</c:v>
                </c:pt>
                <c:pt idx="12">
                  <c:v>812</c:v>
                </c:pt>
                <c:pt idx="13">
                  <c:v>901</c:v>
                </c:pt>
                <c:pt idx="14">
                  <c:v>902</c:v>
                </c:pt>
                <c:pt idx="15">
                  <c:v>903</c:v>
                </c:pt>
                <c:pt idx="16">
                  <c:v>904</c:v>
                </c:pt>
                <c:pt idx="17">
                  <c:v>905</c:v>
                </c:pt>
                <c:pt idx="18">
                  <c:v>906</c:v>
                </c:pt>
                <c:pt idx="19">
                  <c:v>907</c:v>
                </c:pt>
                <c:pt idx="20">
                  <c:v>908</c:v>
                </c:pt>
                <c:pt idx="21">
                  <c:v>909</c:v>
                </c:pt>
                <c:pt idx="22">
                  <c:v>910</c:v>
                </c:pt>
                <c:pt idx="23">
                  <c:v>911</c:v>
                </c:pt>
                <c:pt idx="24">
                  <c:v>912</c:v>
                </c:pt>
                <c:pt idx="25">
                  <c:v>1001</c:v>
                </c:pt>
                <c:pt idx="26">
                  <c:v>1002</c:v>
                </c:pt>
                <c:pt idx="27">
                  <c:v>1003</c:v>
                </c:pt>
                <c:pt idx="28">
                  <c:v>1004</c:v>
                </c:pt>
                <c:pt idx="29">
                  <c:v>1005</c:v>
                </c:pt>
                <c:pt idx="30">
                  <c:v>1006</c:v>
                </c:pt>
                <c:pt idx="31">
                  <c:v>1007</c:v>
                </c:pt>
                <c:pt idx="32">
                  <c:v>1008</c:v>
                </c:pt>
                <c:pt idx="33">
                  <c:v>1009</c:v>
                </c:pt>
                <c:pt idx="34">
                  <c:v>1010</c:v>
                </c:pt>
                <c:pt idx="35">
                  <c:v>1011</c:v>
                </c:pt>
                <c:pt idx="36">
                  <c:v>1012</c:v>
                </c:pt>
                <c:pt idx="37">
                  <c:v>1101</c:v>
                </c:pt>
                <c:pt idx="38">
                  <c:v>1102</c:v>
                </c:pt>
                <c:pt idx="39">
                  <c:v>1103</c:v>
                </c:pt>
                <c:pt idx="40">
                  <c:v>1104</c:v>
                </c:pt>
                <c:pt idx="41">
                  <c:v>1105</c:v>
                </c:pt>
                <c:pt idx="42">
                  <c:v>1106</c:v>
                </c:pt>
                <c:pt idx="43">
                  <c:v>1107</c:v>
                </c:pt>
                <c:pt idx="44">
                  <c:v>1108</c:v>
                </c:pt>
                <c:pt idx="45">
                  <c:v>1109</c:v>
                </c:pt>
                <c:pt idx="46">
                  <c:v>1110</c:v>
                </c:pt>
                <c:pt idx="47">
                  <c:v>1111</c:v>
                </c:pt>
                <c:pt idx="48">
                  <c:v>1112</c:v>
                </c:pt>
                <c:pt idx="49">
                  <c:v>1201</c:v>
                </c:pt>
                <c:pt idx="50">
                  <c:v>1202</c:v>
                </c:pt>
                <c:pt idx="51">
                  <c:v>1203</c:v>
                </c:pt>
                <c:pt idx="52">
                  <c:v>1204</c:v>
                </c:pt>
                <c:pt idx="53">
                  <c:v>1205</c:v>
                </c:pt>
                <c:pt idx="54">
                  <c:v>1206</c:v>
                </c:pt>
                <c:pt idx="55">
                  <c:v>1207</c:v>
                </c:pt>
                <c:pt idx="56">
                  <c:v>1208</c:v>
                </c:pt>
                <c:pt idx="57">
                  <c:v>1209</c:v>
                </c:pt>
                <c:pt idx="58">
                  <c:v>1210</c:v>
                </c:pt>
                <c:pt idx="59">
                  <c:v>1211</c:v>
                </c:pt>
                <c:pt idx="60">
                  <c:v>1212</c:v>
                </c:pt>
                <c:pt idx="61">
                  <c:v>1301</c:v>
                </c:pt>
                <c:pt idx="62">
                  <c:v>1302</c:v>
                </c:pt>
                <c:pt idx="63">
                  <c:v>1303</c:v>
                </c:pt>
                <c:pt idx="64">
                  <c:v>1304</c:v>
                </c:pt>
                <c:pt idx="65">
                  <c:v>1305</c:v>
                </c:pt>
                <c:pt idx="66">
                  <c:v>1306</c:v>
                </c:pt>
                <c:pt idx="67">
                  <c:v>1307</c:v>
                </c:pt>
                <c:pt idx="68">
                  <c:v>1308</c:v>
                </c:pt>
                <c:pt idx="69">
                  <c:v>1309</c:v>
                </c:pt>
                <c:pt idx="70">
                  <c:v>1310</c:v>
                </c:pt>
                <c:pt idx="71">
                  <c:v>1311</c:v>
                </c:pt>
                <c:pt idx="72">
                  <c:v>1312</c:v>
                </c:pt>
                <c:pt idx="73">
                  <c:v>1401</c:v>
                </c:pt>
                <c:pt idx="74">
                  <c:v>1402</c:v>
                </c:pt>
                <c:pt idx="75">
                  <c:v>1403</c:v>
                </c:pt>
                <c:pt idx="76">
                  <c:v>1404</c:v>
                </c:pt>
                <c:pt idx="77">
                  <c:v>1405</c:v>
                </c:pt>
                <c:pt idx="78">
                  <c:v>1406</c:v>
                </c:pt>
                <c:pt idx="79">
                  <c:v>1407</c:v>
                </c:pt>
                <c:pt idx="80">
                  <c:v>1408</c:v>
                </c:pt>
                <c:pt idx="81">
                  <c:v>1409</c:v>
                </c:pt>
                <c:pt idx="82">
                  <c:v>1410</c:v>
                </c:pt>
                <c:pt idx="83">
                  <c:v>1411</c:v>
                </c:pt>
                <c:pt idx="84">
                  <c:v>1412</c:v>
                </c:pt>
                <c:pt idx="85">
                  <c:v>1501</c:v>
                </c:pt>
                <c:pt idx="86">
                  <c:v>1502</c:v>
                </c:pt>
                <c:pt idx="87">
                  <c:v>1503</c:v>
                </c:pt>
                <c:pt idx="88">
                  <c:v>1504</c:v>
                </c:pt>
                <c:pt idx="89">
                  <c:v>1505</c:v>
                </c:pt>
                <c:pt idx="90">
                  <c:v>1506</c:v>
                </c:pt>
                <c:pt idx="91">
                  <c:v>1507</c:v>
                </c:pt>
                <c:pt idx="92">
                  <c:v>1508</c:v>
                </c:pt>
                <c:pt idx="93">
                  <c:v>1509</c:v>
                </c:pt>
                <c:pt idx="94">
                  <c:v>1510</c:v>
                </c:pt>
                <c:pt idx="95">
                  <c:v>1511</c:v>
                </c:pt>
                <c:pt idx="96">
                  <c:v>1512</c:v>
                </c:pt>
                <c:pt idx="97">
                  <c:v>1601</c:v>
                </c:pt>
                <c:pt idx="98">
                  <c:v>1602</c:v>
                </c:pt>
                <c:pt idx="99">
                  <c:v>1603</c:v>
                </c:pt>
                <c:pt idx="100">
                  <c:v>1604</c:v>
                </c:pt>
                <c:pt idx="101">
                  <c:v>1605</c:v>
                </c:pt>
                <c:pt idx="102">
                  <c:v>1606</c:v>
                </c:pt>
                <c:pt idx="103">
                  <c:v>1607</c:v>
                </c:pt>
                <c:pt idx="104">
                  <c:v>1608</c:v>
                </c:pt>
                <c:pt idx="105">
                  <c:v>1609</c:v>
                </c:pt>
                <c:pt idx="106">
                  <c:v>1610</c:v>
                </c:pt>
                <c:pt idx="107">
                  <c:v>1611</c:v>
                </c:pt>
                <c:pt idx="108">
                  <c:v>1612</c:v>
                </c:pt>
                <c:pt idx="109">
                  <c:v>1701</c:v>
                </c:pt>
                <c:pt idx="110">
                  <c:v>1702</c:v>
                </c:pt>
                <c:pt idx="111">
                  <c:v>1703</c:v>
                </c:pt>
                <c:pt idx="112">
                  <c:v>1704</c:v>
                </c:pt>
                <c:pt idx="113">
                  <c:v>1705</c:v>
                </c:pt>
                <c:pt idx="114">
                  <c:v>1706</c:v>
                </c:pt>
                <c:pt idx="115">
                  <c:v>1707</c:v>
                </c:pt>
                <c:pt idx="116">
                  <c:v>1708</c:v>
                </c:pt>
                <c:pt idx="117">
                  <c:v>1709</c:v>
                </c:pt>
                <c:pt idx="118">
                  <c:v>1710</c:v>
                </c:pt>
                <c:pt idx="119">
                  <c:v>1711</c:v>
                </c:pt>
                <c:pt idx="120">
                  <c:v>1712</c:v>
                </c:pt>
                <c:pt idx="121">
                  <c:v>1801</c:v>
                </c:pt>
                <c:pt idx="122">
                  <c:v>1802</c:v>
                </c:pt>
                <c:pt idx="123">
                  <c:v>1803</c:v>
                </c:pt>
                <c:pt idx="124">
                  <c:v>1804</c:v>
                </c:pt>
                <c:pt idx="125">
                  <c:v>1805</c:v>
                </c:pt>
                <c:pt idx="126">
                  <c:v>1806</c:v>
                </c:pt>
                <c:pt idx="127">
                  <c:v>1807</c:v>
                </c:pt>
                <c:pt idx="128">
                  <c:v>1808</c:v>
                </c:pt>
                <c:pt idx="129">
                  <c:v>1809</c:v>
                </c:pt>
                <c:pt idx="130">
                  <c:v>1810</c:v>
                </c:pt>
                <c:pt idx="131">
                  <c:v>1811</c:v>
                </c:pt>
                <c:pt idx="132">
                  <c:v>1812</c:v>
                </c:pt>
                <c:pt idx="133">
                  <c:v>1901</c:v>
                </c:pt>
                <c:pt idx="134">
                  <c:v>1902</c:v>
                </c:pt>
              </c:numCache>
            </c:numRef>
          </c:cat>
          <c:val>
            <c:numRef>
              <c:f>'[副本内参190306用图.xlsx]服务业6-12月均与上证'!$P$2:$P$136</c:f>
              <c:numCache>
                <c:formatCode>General</c:formatCode>
                <c:ptCount val="135"/>
                <c:pt idx="4">
                  <c:v>0.0705386237301131</c:v>
                </c:pt>
                <c:pt idx="5">
                  <c:v>-0.0056870581002153</c:v>
                </c:pt>
                <c:pt idx="6">
                  <c:v>0.0806977189955913</c:v>
                </c:pt>
                <c:pt idx="7">
                  <c:v>0.0917800344893655</c:v>
                </c:pt>
                <c:pt idx="8">
                  <c:v>0.0930639207305227</c:v>
                </c:pt>
                <c:pt idx="9">
                  <c:v>0.0649923312883439</c:v>
                </c:pt>
                <c:pt idx="10">
                  <c:v>0.0946236559139787</c:v>
                </c:pt>
                <c:pt idx="11">
                  <c:v>0.00635395253223714</c:v>
                </c:pt>
                <c:pt idx="12">
                  <c:v>-0.0441285081240767</c:v>
                </c:pt>
                <c:pt idx="13">
                  <c:v>-0.0941047235444897</c:v>
                </c:pt>
                <c:pt idx="14">
                  <c:v>-0.00169268384427313</c:v>
                </c:pt>
                <c:pt idx="15">
                  <c:v>-0.0102976970604756</c:v>
                </c:pt>
                <c:pt idx="16">
                  <c:v>-0.0139873181648639</c:v>
                </c:pt>
                <c:pt idx="17">
                  <c:v>-0.0409714497589915</c:v>
                </c:pt>
                <c:pt idx="18">
                  <c:v>-0.0431775700934579</c:v>
                </c:pt>
                <c:pt idx="19">
                  <c:v>-0.0880743982494536</c:v>
                </c:pt>
                <c:pt idx="20">
                  <c:v>-0.106386828297449</c:v>
                </c:pt>
                <c:pt idx="21">
                  <c:v>-0.111111111111111</c:v>
                </c:pt>
                <c:pt idx="22">
                  <c:v>-0.114622388859132</c:v>
                </c:pt>
                <c:pt idx="23">
                  <c:v>-0.0803378864126527</c:v>
                </c:pt>
                <c:pt idx="24">
                  <c:v>-0.0729613733905579</c:v>
                </c:pt>
                <c:pt idx="25">
                  <c:v>-0.0274495546264315</c:v>
                </c:pt>
                <c:pt idx="26">
                  <c:v>-0.000739781764379499</c:v>
                </c:pt>
                <c:pt idx="27">
                  <c:v>0.0229194063498028</c:v>
                </c:pt>
                <c:pt idx="28">
                  <c:v>0.0374905802562171</c:v>
                </c:pt>
                <c:pt idx="29">
                  <c:v>0.0546727203934923</c:v>
                </c:pt>
                <c:pt idx="30">
                  <c:v>0.0722526952903349</c:v>
                </c:pt>
                <c:pt idx="31">
                  <c:v>0.104774792190219</c:v>
                </c:pt>
                <c:pt idx="32">
                  <c:v>0.129712834537996</c:v>
                </c:pt>
                <c:pt idx="33">
                  <c:v>0.156568686262748</c:v>
                </c:pt>
                <c:pt idx="34">
                  <c:v>0.167847742457988</c:v>
                </c:pt>
                <c:pt idx="35">
                  <c:v>0.176209677419355</c:v>
                </c:pt>
                <c:pt idx="36">
                  <c:v>0.199435370034281</c:v>
                </c:pt>
                <c:pt idx="37">
                  <c:v>0.13797146765683</c:v>
                </c:pt>
                <c:pt idx="38">
                  <c:v>0.136381172839506</c:v>
                </c:pt>
                <c:pt idx="39">
                  <c:v>0.10392523364486</c:v>
                </c:pt>
                <c:pt idx="40">
                  <c:v>0.0940218397186748</c:v>
                </c:pt>
                <c:pt idx="41">
                  <c:v>0.0811753902662997</c:v>
                </c:pt>
                <c:pt idx="42">
                  <c:v>0.0602869075721808</c:v>
                </c:pt>
                <c:pt idx="43">
                  <c:v>0.0521973094170404</c:v>
                </c:pt>
                <c:pt idx="44">
                  <c:v>0.0313988357735052</c:v>
                </c:pt>
                <c:pt idx="45">
                  <c:v>0.0209973753280842</c:v>
                </c:pt>
                <c:pt idx="46">
                  <c:v>0.0102023171364345</c:v>
                </c:pt>
                <c:pt idx="47">
                  <c:v>0.00501383125864452</c:v>
                </c:pt>
                <c:pt idx="48">
                  <c:v>0.00208044382801665</c:v>
                </c:pt>
                <c:pt idx="49">
                  <c:v>-0.0104559478916696</c:v>
                </c:pt>
                <c:pt idx="50">
                  <c:v>-0.038836583725622</c:v>
                </c:pt>
                <c:pt idx="51">
                  <c:v>-0.0207796668383994</c:v>
                </c:pt>
                <c:pt idx="52">
                  <c:v>-0.0378543540994738</c:v>
                </c:pt>
                <c:pt idx="53">
                  <c:v>-0.0355570606163224</c:v>
                </c:pt>
                <c:pt idx="54">
                  <c:v>-0.0414481475215698</c:v>
                </c:pt>
                <c:pt idx="55">
                  <c:v>-0.0434856463393918</c:v>
                </c:pt>
                <c:pt idx="56">
                  <c:v>-0.0542901181709197</c:v>
                </c:pt>
                <c:pt idx="57">
                  <c:v>-0.0733037845209684</c:v>
                </c:pt>
                <c:pt idx="58">
                  <c:v>-0.0627672310586629</c:v>
                </c:pt>
                <c:pt idx="59">
                  <c:v>-0.0798628963153388</c:v>
                </c:pt>
                <c:pt idx="60">
                  <c:v>-0.0914070523793222</c:v>
                </c:pt>
                <c:pt idx="61">
                  <c:v>-0.0904868398417341</c:v>
                </c:pt>
                <c:pt idx="62">
                  <c:v>-0.130103806228373</c:v>
                </c:pt>
                <c:pt idx="63">
                  <c:v>-0.121254113978867</c:v>
                </c:pt>
                <c:pt idx="64">
                  <c:v>-0.125065593842925</c:v>
                </c:pt>
                <c:pt idx="65">
                  <c:v>-0.135741844966678</c:v>
                </c:pt>
                <c:pt idx="66">
                  <c:v>-0.132145377558222</c:v>
                </c:pt>
                <c:pt idx="67">
                  <c:v>-0.15993679775281</c:v>
                </c:pt>
                <c:pt idx="68">
                  <c:v>-0.169961171902577</c:v>
                </c:pt>
                <c:pt idx="69">
                  <c:v>-0.160539868584621</c:v>
                </c:pt>
                <c:pt idx="70">
                  <c:v>-0.151575516117349</c:v>
                </c:pt>
                <c:pt idx="71">
                  <c:v>-0.149006622516556</c:v>
                </c:pt>
                <c:pt idx="72">
                  <c:v>-0.155656934306569</c:v>
                </c:pt>
                <c:pt idx="73">
                  <c:v>-0.146209722480909</c:v>
                </c:pt>
                <c:pt idx="74">
                  <c:v>-0.12207987942728</c:v>
                </c:pt>
                <c:pt idx="75">
                  <c:v>-0.136750520143749</c:v>
                </c:pt>
                <c:pt idx="76">
                  <c:v>-0.0984486873508353</c:v>
                </c:pt>
                <c:pt idx="77">
                  <c:v>-0.0995466193573825</c:v>
                </c:pt>
                <c:pt idx="78">
                  <c:v>-0.0921631347461016</c:v>
                </c:pt>
                <c:pt idx="79">
                  <c:v>-0.0730519480519481</c:v>
                </c:pt>
                <c:pt idx="80">
                  <c:v>-0.0687131530798942</c:v>
                </c:pt>
                <c:pt idx="81">
                  <c:v>-0.0376175548589343</c:v>
                </c:pt>
                <c:pt idx="82">
                  <c:v>-0.0293429725706997</c:v>
                </c:pt>
                <c:pt idx="83">
                  <c:v>-0.0177702559763064</c:v>
                </c:pt>
                <c:pt idx="84">
                  <c:v>-0.00448239060832446</c:v>
                </c:pt>
                <c:pt idx="85">
                  <c:v>0.0317769130998703</c:v>
                </c:pt>
                <c:pt idx="86">
                  <c:v>0.0494921115193432</c:v>
                </c:pt>
                <c:pt idx="87">
                  <c:v>0.0554101221640489</c:v>
                </c:pt>
                <c:pt idx="88">
                  <c:v>0.0467811158798284</c:v>
                </c:pt>
                <c:pt idx="89">
                  <c:v>0.0716476774758983</c:v>
                </c:pt>
                <c:pt idx="90">
                  <c:v>0.0776527685859254</c:v>
                </c:pt>
                <c:pt idx="91">
                  <c:v>0.0722416812609457</c:v>
                </c:pt>
                <c:pt idx="92">
                  <c:v>0.104602510460251</c:v>
                </c:pt>
                <c:pt idx="93">
                  <c:v>0.0926007005253939</c:v>
                </c:pt>
                <c:pt idx="94">
                  <c:v>0.0873171796550971</c:v>
                </c:pt>
                <c:pt idx="95">
                  <c:v>0.0764386536373507</c:v>
                </c:pt>
                <c:pt idx="96">
                  <c:v>0.0788608981380068</c:v>
                </c:pt>
                <c:pt idx="97">
                  <c:v>0.0514753392203318</c:v>
                </c:pt>
                <c:pt idx="98">
                  <c:v>0.0246569468267582</c:v>
                </c:pt>
                <c:pt idx="99">
                  <c:v>-0.0165514351560863</c:v>
                </c:pt>
                <c:pt idx="100">
                  <c:v>-0.0411861614497529</c:v>
                </c:pt>
                <c:pt idx="101">
                  <c:v>-0.0516742455560147</c:v>
                </c:pt>
                <c:pt idx="102">
                  <c:v>-0.0672406724067241</c:v>
                </c:pt>
                <c:pt idx="103">
                  <c:v>-0.0709466366796157</c:v>
                </c:pt>
                <c:pt idx="104">
                  <c:v>-0.0939611054247698</c:v>
                </c:pt>
                <c:pt idx="105">
                  <c:v>-0.105961616986525</c:v>
                </c:pt>
                <c:pt idx="106">
                  <c:v>-0.128189792663477</c:v>
                </c:pt>
                <c:pt idx="107">
                  <c:v>-0.112001602885193</c:v>
                </c:pt>
                <c:pt idx="108">
                  <c:v>-0.126681389279261</c:v>
                </c:pt>
                <c:pt idx="109">
                  <c:v>-0.134960661690539</c:v>
                </c:pt>
                <c:pt idx="110">
                  <c:v>-0.134010152284264</c:v>
                </c:pt>
                <c:pt idx="111">
                  <c:v>-0.12720196640721</c:v>
                </c:pt>
                <c:pt idx="112">
                  <c:v>-0.103578154425612</c:v>
                </c:pt>
                <c:pt idx="113">
                  <c:v>-0.0609288453344693</c:v>
                </c:pt>
                <c:pt idx="114">
                  <c:v>-0.0423109965635739</c:v>
                </c:pt>
                <c:pt idx="115">
                  <c:v>-0.0104620749782041</c:v>
                </c:pt>
                <c:pt idx="116">
                  <c:v>0.0162637362637364</c:v>
                </c:pt>
                <c:pt idx="117">
                  <c:v>0.0169454225352113</c:v>
                </c:pt>
                <c:pt idx="118">
                  <c:v>0.0562584726615454</c:v>
                </c:pt>
                <c:pt idx="119">
                  <c:v>0.0413336378168535</c:v>
                </c:pt>
                <c:pt idx="120">
                  <c:v>0.0493940086896869</c:v>
                </c:pt>
                <c:pt idx="121">
                  <c:v>0.0408393501805055</c:v>
                </c:pt>
                <c:pt idx="122">
                  <c:v>0.0590804597701149</c:v>
                </c:pt>
                <c:pt idx="123">
                  <c:v>0.0897854477611942</c:v>
                </c:pt>
                <c:pt idx="124">
                  <c:v>0.109964830011724</c:v>
                </c:pt>
                <c:pt idx="125">
                  <c:v>0.103027458343112</c:v>
                </c:pt>
                <c:pt idx="126">
                  <c:v>0.0964052287581698</c:v>
                </c:pt>
                <c:pt idx="127">
                  <c:v>0.0635208711433757</c:v>
                </c:pt>
                <c:pt idx="128">
                  <c:v>0.0596546310832026</c:v>
                </c:pt>
                <c:pt idx="129">
                  <c:v>0.0517621145374451</c:v>
                </c:pt>
                <c:pt idx="130">
                  <c:v>0.0302768166089967</c:v>
                </c:pt>
                <c:pt idx="131">
                  <c:v>0.035490153646397</c:v>
                </c:pt>
                <c:pt idx="132">
                  <c:v>0.026096256684492</c:v>
                </c:pt>
                <c:pt idx="133">
                  <c:v>0.0550438596491227</c:v>
                </c:pt>
                <c:pt idx="134">
                  <c:v>0.0483765526258444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'[副本内参190306用图.xlsx]服务业6-12月均与上证'!$Q$1</c:f>
              <c:strCache>
                <c:ptCount val="1"/>
                <c:pt idx="0">
                  <c:v>PMIq住宿业-状况(12月同比值)</c:v>
                </c:pt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lumOff val="40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'[副本内参190306用图.xlsx]服务业6-12月均与上证'!$N$2:$N$136</c:f>
              <c:numCache>
                <c:formatCode>General</c:formatCode>
                <c:ptCount val="135"/>
                <c:pt idx="0">
                  <c:v>712</c:v>
                </c:pt>
                <c:pt idx="1">
                  <c:v>801</c:v>
                </c:pt>
                <c:pt idx="2">
                  <c:v>802</c:v>
                </c:pt>
                <c:pt idx="3">
                  <c:v>803</c:v>
                </c:pt>
                <c:pt idx="4">
                  <c:v>804</c:v>
                </c:pt>
                <c:pt idx="5">
                  <c:v>805</c:v>
                </c:pt>
                <c:pt idx="6">
                  <c:v>806</c:v>
                </c:pt>
                <c:pt idx="7">
                  <c:v>807</c:v>
                </c:pt>
                <c:pt idx="8">
                  <c:v>808</c:v>
                </c:pt>
                <c:pt idx="9">
                  <c:v>809</c:v>
                </c:pt>
                <c:pt idx="10">
                  <c:v>810</c:v>
                </c:pt>
                <c:pt idx="11">
                  <c:v>811</c:v>
                </c:pt>
                <c:pt idx="12">
                  <c:v>812</c:v>
                </c:pt>
                <c:pt idx="13">
                  <c:v>901</c:v>
                </c:pt>
                <c:pt idx="14">
                  <c:v>902</c:v>
                </c:pt>
                <c:pt idx="15">
                  <c:v>903</c:v>
                </c:pt>
                <c:pt idx="16">
                  <c:v>904</c:v>
                </c:pt>
                <c:pt idx="17">
                  <c:v>905</c:v>
                </c:pt>
                <c:pt idx="18">
                  <c:v>906</c:v>
                </c:pt>
                <c:pt idx="19">
                  <c:v>907</c:v>
                </c:pt>
                <c:pt idx="20">
                  <c:v>908</c:v>
                </c:pt>
                <c:pt idx="21">
                  <c:v>909</c:v>
                </c:pt>
                <c:pt idx="22">
                  <c:v>910</c:v>
                </c:pt>
                <c:pt idx="23">
                  <c:v>911</c:v>
                </c:pt>
                <c:pt idx="24">
                  <c:v>912</c:v>
                </c:pt>
                <c:pt idx="25">
                  <c:v>1001</c:v>
                </c:pt>
                <c:pt idx="26">
                  <c:v>1002</c:v>
                </c:pt>
                <c:pt idx="27">
                  <c:v>1003</c:v>
                </c:pt>
                <c:pt idx="28">
                  <c:v>1004</c:v>
                </c:pt>
                <c:pt idx="29">
                  <c:v>1005</c:v>
                </c:pt>
                <c:pt idx="30">
                  <c:v>1006</c:v>
                </c:pt>
                <c:pt idx="31">
                  <c:v>1007</c:v>
                </c:pt>
                <c:pt idx="32">
                  <c:v>1008</c:v>
                </c:pt>
                <c:pt idx="33">
                  <c:v>1009</c:v>
                </c:pt>
                <c:pt idx="34">
                  <c:v>1010</c:v>
                </c:pt>
                <c:pt idx="35">
                  <c:v>1011</c:v>
                </c:pt>
                <c:pt idx="36">
                  <c:v>1012</c:v>
                </c:pt>
                <c:pt idx="37">
                  <c:v>1101</c:v>
                </c:pt>
                <c:pt idx="38">
                  <c:v>1102</c:v>
                </c:pt>
                <c:pt idx="39">
                  <c:v>1103</c:v>
                </c:pt>
                <c:pt idx="40">
                  <c:v>1104</c:v>
                </c:pt>
                <c:pt idx="41">
                  <c:v>1105</c:v>
                </c:pt>
                <c:pt idx="42">
                  <c:v>1106</c:v>
                </c:pt>
                <c:pt idx="43">
                  <c:v>1107</c:v>
                </c:pt>
                <c:pt idx="44">
                  <c:v>1108</c:v>
                </c:pt>
                <c:pt idx="45">
                  <c:v>1109</c:v>
                </c:pt>
                <c:pt idx="46">
                  <c:v>1110</c:v>
                </c:pt>
                <c:pt idx="47">
                  <c:v>1111</c:v>
                </c:pt>
                <c:pt idx="48">
                  <c:v>1112</c:v>
                </c:pt>
                <c:pt idx="49">
                  <c:v>1201</c:v>
                </c:pt>
                <c:pt idx="50">
                  <c:v>1202</c:v>
                </c:pt>
                <c:pt idx="51">
                  <c:v>1203</c:v>
                </c:pt>
                <c:pt idx="52">
                  <c:v>1204</c:v>
                </c:pt>
                <c:pt idx="53">
                  <c:v>1205</c:v>
                </c:pt>
                <c:pt idx="54">
                  <c:v>1206</c:v>
                </c:pt>
                <c:pt idx="55">
                  <c:v>1207</c:v>
                </c:pt>
                <c:pt idx="56">
                  <c:v>1208</c:v>
                </c:pt>
                <c:pt idx="57">
                  <c:v>1209</c:v>
                </c:pt>
                <c:pt idx="58">
                  <c:v>1210</c:v>
                </c:pt>
                <c:pt idx="59">
                  <c:v>1211</c:v>
                </c:pt>
                <c:pt idx="60">
                  <c:v>1212</c:v>
                </c:pt>
                <c:pt idx="61">
                  <c:v>1301</c:v>
                </c:pt>
                <c:pt idx="62">
                  <c:v>1302</c:v>
                </c:pt>
                <c:pt idx="63">
                  <c:v>1303</c:v>
                </c:pt>
                <c:pt idx="64">
                  <c:v>1304</c:v>
                </c:pt>
                <c:pt idx="65">
                  <c:v>1305</c:v>
                </c:pt>
                <c:pt idx="66">
                  <c:v>1306</c:v>
                </c:pt>
                <c:pt idx="67">
                  <c:v>1307</c:v>
                </c:pt>
                <c:pt idx="68">
                  <c:v>1308</c:v>
                </c:pt>
                <c:pt idx="69">
                  <c:v>1309</c:v>
                </c:pt>
                <c:pt idx="70">
                  <c:v>1310</c:v>
                </c:pt>
                <c:pt idx="71">
                  <c:v>1311</c:v>
                </c:pt>
                <c:pt idx="72">
                  <c:v>1312</c:v>
                </c:pt>
                <c:pt idx="73">
                  <c:v>1401</c:v>
                </c:pt>
                <c:pt idx="74">
                  <c:v>1402</c:v>
                </c:pt>
                <c:pt idx="75">
                  <c:v>1403</c:v>
                </c:pt>
                <c:pt idx="76">
                  <c:v>1404</c:v>
                </c:pt>
                <c:pt idx="77">
                  <c:v>1405</c:v>
                </c:pt>
                <c:pt idx="78">
                  <c:v>1406</c:v>
                </c:pt>
                <c:pt idx="79">
                  <c:v>1407</c:v>
                </c:pt>
                <c:pt idx="80">
                  <c:v>1408</c:v>
                </c:pt>
                <c:pt idx="81">
                  <c:v>1409</c:v>
                </c:pt>
                <c:pt idx="82">
                  <c:v>1410</c:v>
                </c:pt>
                <c:pt idx="83">
                  <c:v>1411</c:v>
                </c:pt>
                <c:pt idx="84">
                  <c:v>1412</c:v>
                </c:pt>
                <c:pt idx="85">
                  <c:v>1501</c:v>
                </c:pt>
                <c:pt idx="86">
                  <c:v>1502</c:v>
                </c:pt>
                <c:pt idx="87">
                  <c:v>1503</c:v>
                </c:pt>
                <c:pt idx="88">
                  <c:v>1504</c:v>
                </c:pt>
                <c:pt idx="89">
                  <c:v>1505</c:v>
                </c:pt>
                <c:pt idx="90">
                  <c:v>1506</c:v>
                </c:pt>
                <c:pt idx="91">
                  <c:v>1507</c:v>
                </c:pt>
                <c:pt idx="92">
                  <c:v>1508</c:v>
                </c:pt>
                <c:pt idx="93">
                  <c:v>1509</c:v>
                </c:pt>
                <c:pt idx="94">
                  <c:v>1510</c:v>
                </c:pt>
                <c:pt idx="95">
                  <c:v>1511</c:v>
                </c:pt>
                <c:pt idx="96">
                  <c:v>1512</c:v>
                </c:pt>
                <c:pt idx="97">
                  <c:v>1601</c:v>
                </c:pt>
                <c:pt idx="98">
                  <c:v>1602</c:v>
                </c:pt>
                <c:pt idx="99">
                  <c:v>1603</c:v>
                </c:pt>
                <c:pt idx="100">
                  <c:v>1604</c:v>
                </c:pt>
                <c:pt idx="101">
                  <c:v>1605</c:v>
                </c:pt>
                <c:pt idx="102">
                  <c:v>1606</c:v>
                </c:pt>
                <c:pt idx="103">
                  <c:v>1607</c:v>
                </c:pt>
                <c:pt idx="104">
                  <c:v>1608</c:v>
                </c:pt>
                <c:pt idx="105">
                  <c:v>1609</c:v>
                </c:pt>
                <c:pt idx="106">
                  <c:v>1610</c:v>
                </c:pt>
                <c:pt idx="107">
                  <c:v>1611</c:v>
                </c:pt>
                <c:pt idx="108">
                  <c:v>1612</c:v>
                </c:pt>
                <c:pt idx="109">
                  <c:v>1701</c:v>
                </c:pt>
                <c:pt idx="110">
                  <c:v>1702</c:v>
                </c:pt>
                <c:pt idx="111">
                  <c:v>1703</c:v>
                </c:pt>
                <c:pt idx="112">
                  <c:v>1704</c:v>
                </c:pt>
                <c:pt idx="113">
                  <c:v>1705</c:v>
                </c:pt>
                <c:pt idx="114">
                  <c:v>1706</c:v>
                </c:pt>
                <c:pt idx="115">
                  <c:v>1707</c:v>
                </c:pt>
                <c:pt idx="116">
                  <c:v>1708</c:v>
                </c:pt>
                <c:pt idx="117">
                  <c:v>1709</c:v>
                </c:pt>
                <c:pt idx="118">
                  <c:v>1710</c:v>
                </c:pt>
                <c:pt idx="119">
                  <c:v>1711</c:v>
                </c:pt>
                <c:pt idx="120">
                  <c:v>1712</c:v>
                </c:pt>
                <c:pt idx="121">
                  <c:v>1801</c:v>
                </c:pt>
                <c:pt idx="122">
                  <c:v>1802</c:v>
                </c:pt>
                <c:pt idx="123">
                  <c:v>1803</c:v>
                </c:pt>
                <c:pt idx="124">
                  <c:v>1804</c:v>
                </c:pt>
                <c:pt idx="125">
                  <c:v>1805</c:v>
                </c:pt>
                <c:pt idx="126">
                  <c:v>1806</c:v>
                </c:pt>
                <c:pt idx="127">
                  <c:v>1807</c:v>
                </c:pt>
                <c:pt idx="128">
                  <c:v>1808</c:v>
                </c:pt>
                <c:pt idx="129">
                  <c:v>1809</c:v>
                </c:pt>
                <c:pt idx="130">
                  <c:v>1810</c:v>
                </c:pt>
                <c:pt idx="131">
                  <c:v>1811</c:v>
                </c:pt>
                <c:pt idx="132">
                  <c:v>1812</c:v>
                </c:pt>
                <c:pt idx="133">
                  <c:v>1901</c:v>
                </c:pt>
                <c:pt idx="134">
                  <c:v>1902</c:v>
                </c:pt>
              </c:numCache>
            </c:numRef>
          </c:cat>
          <c:val>
            <c:numRef>
              <c:f>'[副本内参190306用图.xlsx]服务业6-12月均与上证'!$Q$2:$Q$136</c:f>
              <c:numCache>
                <c:formatCode>General</c:formatCode>
                <c:ptCount val="135"/>
                <c:pt idx="4">
                  <c:v>0.0480660908749532</c:v>
                </c:pt>
                <c:pt idx="5">
                  <c:v>-0.0229064964325948</c:v>
                </c:pt>
                <c:pt idx="6">
                  <c:v>-0.071723619977469</c:v>
                </c:pt>
                <c:pt idx="7">
                  <c:v>-0.0891144952058659</c:v>
                </c:pt>
                <c:pt idx="8">
                  <c:v>-0.0999223903764072</c:v>
                </c:pt>
                <c:pt idx="9">
                  <c:v>-0.118899566610138</c:v>
                </c:pt>
                <c:pt idx="10">
                  <c:v>-0.171757096658282</c:v>
                </c:pt>
                <c:pt idx="11">
                  <c:v>-0.128964059196617</c:v>
                </c:pt>
                <c:pt idx="12">
                  <c:v>-0.153623681524329</c:v>
                </c:pt>
                <c:pt idx="13">
                  <c:v>-0.152159357214597</c:v>
                </c:pt>
                <c:pt idx="14">
                  <c:v>-0.122813280971082</c:v>
                </c:pt>
                <c:pt idx="15">
                  <c:v>-0.119001239596246</c:v>
                </c:pt>
                <c:pt idx="16">
                  <c:v>-0.122996578426076</c:v>
                </c:pt>
                <c:pt idx="17">
                  <c:v>-0.110322228290552</c:v>
                </c:pt>
                <c:pt idx="18">
                  <c:v>-0.127556512378902</c:v>
                </c:pt>
                <c:pt idx="19">
                  <c:v>-0.115257352941176</c:v>
                </c:pt>
                <c:pt idx="20">
                  <c:v>-0.0985030493439294</c:v>
                </c:pt>
                <c:pt idx="21">
                  <c:v>-0.0730129390018488</c:v>
                </c:pt>
                <c:pt idx="22">
                  <c:v>-0.0649546827794562</c:v>
                </c:pt>
                <c:pt idx="23">
                  <c:v>-0.0484836778056792</c:v>
                </c:pt>
                <c:pt idx="24">
                  <c:v>-0.0308084772370487</c:v>
                </c:pt>
                <c:pt idx="25">
                  <c:v>-0.0372487189594009</c:v>
                </c:pt>
                <c:pt idx="26">
                  <c:v>-0.036499294212543</c:v>
                </c:pt>
                <c:pt idx="27">
                  <c:v>-0.0230070635721494</c:v>
                </c:pt>
                <c:pt idx="28">
                  <c:v>0.000610500610500608</c:v>
                </c:pt>
                <c:pt idx="29">
                  <c:v>0.00542713567839193</c:v>
                </c:pt>
                <c:pt idx="30">
                  <c:v>0.051334702258727</c:v>
                </c:pt>
                <c:pt idx="31">
                  <c:v>0.064456721915286</c:v>
                </c:pt>
                <c:pt idx="32">
                  <c:v>0.0931523750771133</c:v>
                </c:pt>
                <c:pt idx="33">
                  <c:v>0.100768751298566</c:v>
                </c:pt>
                <c:pt idx="34">
                  <c:v>0.113776137761378</c:v>
                </c:pt>
                <c:pt idx="35">
                  <c:v>0.0783649052841475</c:v>
                </c:pt>
                <c:pt idx="36">
                  <c:v>0.0741114701130858</c:v>
                </c:pt>
                <c:pt idx="37">
                  <c:v>0.0891189606171336</c:v>
                </c:pt>
                <c:pt idx="38">
                  <c:v>0.0836201660255115</c:v>
                </c:pt>
                <c:pt idx="39">
                  <c:v>0.121801432958035</c:v>
                </c:pt>
                <c:pt idx="40">
                  <c:v>0.156760150690666</c:v>
                </c:pt>
                <c:pt idx="41">
                  <c:v>0.133236934517662</c:v>
                </c:pt>
                <c:pt idx="42">
                  <c:v>0.11104331909701</c:v>
                </c:pt>
                <c:pt idx="43">
                  <c:v>0.0853658536585365</c:v>
                </c:pt>
                <c:pt idx="44">
                  <c:v>0.06328125</c:v>
                </c:pt>
                <c:pt idx="45">
                  <c:v>0.0321030372933486</c:v>
                </c:pt>
                <c:pt idx="46">
                  <c:v>0.000564334085778828</c:v>
                </c:pt>
                <c:pt idx="47">
                  <c:v>-0.00151000377500943</c:v>
                </c:pt>
                <c:pt idx="48">
                  <c:v>-0.0147248297441561</c:v>
                </c:pt>
                <c:pt idx="49">
                  <c:v>-0.0205251479289942</c:v>
                </c:pt>
                <c:pt idx="50">
                  <c:v>0.0321489001692048</c:v>
                </c:pt>
                <c:pt idx="51">
                  <c:v>-0.00316868592730668</c:v>
                </c:pt>
                <c:pt idx="52">
                  <c:v>-0.00597907324364724</c:v>
                </c:pt>
                <c:pt idx="53">
                  <c:v>-0.0397810218978102</c:v>
                </c:pt>
                <c:pt idx="54">
                  <c:v>-0.0664013026958568</c:v>
                </c:pt>
                <c:pt idx="55">
                  <c:v>-0.0716368939117754</c:v>
                </c:pt>
                <c:pt idx="56">
                  <c:v>-0.0660809079260481</c:v>
                </c:pt>
                <c:pt idx="57">
                  <c:v>-0.0311291213851538</c:v>
                </c:pt>
                <c:pt idx="58">
                  <c:v>-0.0374724467303454</c:v>
                </c:pt>
                <c:pt idx="59">
                  <c:v>-0.00633265040044695</c:v>
                </c:pt>
                <c:pt idx="60">
                  <c:v>0.00319608949050587</c:v>
                </c:pt>
                <c:pt idx="61">
                  <c:v>-0.00226843100189036</c:v>
                </c:pt>
                <c:pt idx="62">
                  <c:v>-0.0397907715299833</c:v>
                </c:pt>
                <c:pt idx="63">
                  <c:v>-0.0424768737020955</c:v>
                </c:pt>
                <c:pt idx="64">
                  <c:v>-0.0832422586520948</c:v>
                </c:pt>
                <c:pt idx="65">
                  <c:v>-0.0424457741211667</c:v>
                </c:pt>
                <c:pt idx="66">
                  <c:v>-0.0374060150375941</c:v>
                </c:pt>
                <c:pt idx="67">
                  <c:v>-0.00969213226909918</c:v>
                </c:pt>
                <c:pt idx="68">
                  <c:v>-0.00968992248062017</c:v>
                </c:pt>
                <c:pt idx="69">
                  <c:v>-0.0212055762811702</c:v>
                </c:pt>
                <c:pt idx="70">
                  <c:v>-0.0272442179537438</c:v>
                </c:pt>
                <c:pt idx="71">
                  <c:v>-0.0731939163498099</c:v>
                </c:pt>
                <c:pt idx="72">
                  <c:v>-0.0755725190839694</c:v>
                </c:pt>
                <c:pt idx="73">
                  <c:v>-0.0933458294283037</c:v>
                </c:pt>
                <c:pt idx="74">
                  <c:v>-0.0800224887556225</c:v>
                </c:pt>
                <c:pt idx="75">
                  <c:v>-0.0390299355816599</c:v>
                </c:pt>
                <c:pt idx="76">
                  <c:v>-0.0200389105058367</c:v>
                </c:pt>
                <c:pt idx="77">
                  <c:v>0.00966088328075723</c:v>
                </c:pt>
                <c:pt idx="78">
                  <c:v>-0.00755016888535656</c:v>
                </c:pt>
                <c:pt idx="79">
                  <c:v>-0.0242140206990823</c:v>
                </c:pt>
                <c:pt idx="80">
                  <c:v>-0.0175746924428822</c:v>
                </c:pt>
                <c:pt idx="81">
                  <c:v>-0.0452888121281904</c:v>
                </c:pt>
                <c:pt idx="82">
                  <c:v>-0.00528375733855191</c:v>
                </c:pt>
                <c:pt idx="83">
                  <c:v>0.0228686058174523</c:v>
                </c:pt>
                <c:pt idx="84">
                  <c:v>0.0215595406004432</c:v>
                </c:pt>
                <c:pt idx="85">
                  <c:v>0.0596923076923078</c:v>
                </c:pt>
                <c:pt idx="86">
                  <c:v>0.0478943022295624</c:v>
                </c:pt>
                <c:pt idx="87">
                  <c:v>0.0355592309282616</c:v>
                </c:pt>
                <c:pt idx="88">
                  <c:v>0.0132409859441842</c:v>
                </c:pt>
                <c:pt idx="89">
                  <c:v>-0.0224763406940064</c:v>
                </c:pt>
                <c:pt idx="90">
                  <c:v>0.0162795314671431</c:v>
                </c:pt>
                <c:pt idx="91">
                  <c:v>-0.00546768209334117</c:v>
                </c:pt>
                <c:pt idx="92">
                  <c:v>0.0308308308308308</c:v>
                </c:pt>
                <c:pt idx="93">
                  <c:v>0.0560336201721035</c:v>
                </c:pt>
                <c:pt idx="94">
                  <c:v>0.041542436891274</c:v>
                </c:pt>
                <c:pt idx="95">
                  <c:v>0.0488442211055276</c:v>
                </c:pt>
                <c:pt idx="96">
                  <c:v>0.0395435766279758</c:v>
                </c:pt>
                <c:pt idx="97">
                  <c:v>0.0396156109040988</c:v>
                </c:pt>
                <c:pt idx="98">
                  <c:v>0.0524654832347141</c:v>
                </c:pt>
                <c:pt idx="99">
                  <c:v>0.0385210994967094</c:v>
                </c:pt>
                <c:pt idx="100">
                  <c:v>0.0874704491725768</c:v>
                </c:pt>
                <c:pt idx="101">
                  <c:v>0.0924336194849268</c:v>
                </c:pt>
                <c:pt idx="102">
                  <c:v>0.11178126256534</c:v>
                </c:pt>
                <c:pt idx="103">
                  <c:v>0.120008067769262</c:v>
                </c:pt>
                <c:pt idx="104">
                  <c:v>0.0720843914827118</c:v>
                </c:pt>
                <c:pt idx="105">
                  <c:v>0.0594934223443946</c:v>
                </c:pt>
                <c:pt idx="106">
                  <c:v>0.0291318702660711</c:v>
                </c:pt>
                <c:pt idx="107">
                  <c:v>0.0276672351714989</c:v>
                </c:pt>
                <c:pt idx="108">
                  <c:v>0.0480916030534353</c:v>
                </c:pt>
                <c:pt idx="109">
                  <c:v>0.0586431582981984</c:v>
                </c:pt>
                <c:pt idx="110">
                  <c:v>0.0673732021196065</c:v>
                </c:pt>
                <c:pt idx="111">
                  <c:v>0.0439539709488778</c:v>
                </c:pt>
                <c:pt idx="112">
                  <c:v>0.0194902548725637</c:v>
                </c:pt>
                <c:pt idx="113">
                  <c:v>0.0249767008387698</c:v>
                </c:pt>
                <c:pt idx="114">
                  <c:v>0.00108695652173907</c:v>
                </c:pt>
                <c:pt idx="115">
                  <c:v>0.0173611111111112</c:v>
                </c:pt>
                <c:pt idx="116">
                  <c:v>-0.00904159132007232</c:v>
                </c:pt>
                <c:pt idx="117">
                  <c:v>-0.0160273725913921</c:v>
                </c:pt>
                <c:pt idx="118">
                  <c:v>-0.00200437317784253</c:v>
                </c:pt>
                <c:pt idx="119">
                  <c:v>-0.00667160859896223</c:v>
                </c:pt>
                <c:pt idx="120">
                  <c:v>0.0139648990375543</c:v>
                </c:pt>
                <c:pt idx="121">
                  <c:v>-0.0199151761017887</c:v>
                </c:pt>
                <c:pt idx="122">
                  <c:v>-0.031318281136198</c:v>
                </c:pt>
                <c:pt idx="123">
                  <c:v>-0.0410934105720493</c:v>
                </c:pt>
                <c:pt idx="124">
                  <c:v>-0.0540780141843971</c:v>
                </c:pt>
                <c:pt idx="125">
                  <c:v>-0.0363209251897363</c:v>
                </c:pt>
                <c:pt idx="126">
                  <c:v>-0.0161764705882353</c:v>
                </c:pt>
                <c:pt idx="127">
                  <c:v>-0.0243680669212584</c:v>
                </c:pt>
                <c:pt idx="128">
                  <c:v>-0.0112196887441187</c:v>
                </c:pt>
                <c:pt idx="129">
                  <c:v>-0.01724447637866</c:v>
                </c:pt>
                <c:pt idx="130">
                  <c:v>-0.00437956204379554</c:v>
                </c:pt>
                <c:pt idx="131">
                  <c:v>0.00841874084919471</c:v>
                </c:pt>
                <c:pt idx="132">
                  <c:v>0.00255614387438374</c:v>
                </c:pt>
                <c:pt idx="133">
                  <c:v>0.0347014925373135</c:v>
                </c:pt>
                <c:pt idx="134">
                  <c:v>0.0312674483528754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5593216"/>
        <c:axId val="265594752"/>
      </c:lineChart>
      <c:lineChart>
        <c:grouping val="standard"/>
        <c:varyColors val="0"/>
        <c:ser>
          <c:idx val="0"/>
          <c:order val="0"/>
          <c:tx>
            <c:strRef>
              <c:f>'[副本内参190306用图.xlsx]服务业6-12月均与上证'!$O$1</c:f>
              <c:strCache>
                <c:ptCount val="1"/>
                <c:pt idx="0">
                  <c:v>上证月线</c:v>
                </c:pt>
              </c:strCache>
            </c:strRef>
          </c:tx>
          <c:spPr>
            <a:ln w="28575" cap="rnd" cmpd="sng" algn="ctr">
              <a:solidFill>
                <a:schemeClr val="accent1">
                  <a:lumMod val="75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'[副本内参190306用图.xlsx]服务业6-12月均与上证'!$N$2:$N$136</c:f>
              <c:numCache>
                <c:formatCode>General</c:formatCode>
                <c:ptCount val="135"/>
                <c:pt idx="0">
                  <c:v>712</c:v>
                </c:pt>
                <c:pt idx="1">
                  <c:v>801</c:v>
                </c:pt>
                <c:pt idx="2">
                  <c:v>802</c:v>
                </c:pt>
                <c:pt idx="3">
                  <c:v>803</c:v>
                </c:pt>
                <c:pt idx="4">
                  <c:v>804</c:v>
                </c:pt>
                <c:pt idx="5">
                  <c:v>805</c:v>
                </c:pt>
                <c:pt idx="6">
                  <c:v>806</c:v>
                </c:pt>
                <c:pt idx="7">
                  <c:v>807</c:v>
                </c:pt>
                <c:pt idx="8">
                  <c:v>808</c:v>
                </c:pt>
                <c:pt idx="9">
                  <c:v>809</c:v>
                </c:pt>
                <c:pt idx="10">
                  <c:v>810</c:v>
                </c:pt>
                <c:pt idx="11">
                  <c:v>811</c:v>
                </c:pt>
                <c:pt idx="12">
                  <c:v>812</c:v>
                </c:pt>
                <c:pt idx="13">
                  <c:v>901</c:v>
                </c:pt>
                <c:pt idx="14">
                  <c:v>902</c:v>
                </c:pt>
                <c:pt idx="15">
                  <c:v>903</c:v>
                </c:pt>
                <c:pt idx="16">
                  <c:v>904</c:v>
                </c:pt>
                <c:pt idx="17">
                  <c:v>905</c:v>
                </c:pt>
                <c:pt idx="18">
                  <c:v>906</c:v>
                </c:pt>
                <c:pt idx="19">
                  <c:v>907</c:v>
                </c:pt>
                <c:pt idx="20">
                  <c:v>908</c:v>
                </c:pt>
                <c:pt idx="21">
                  <c:v>909</c:v>
                </c:pt>
                <c:pt idx="22">
                  <c:v>910</c:v>
                </c:pt>
                <c:pt idx="23">
                  <c:v>911</c:v>
                </c:pt>
                <c:pt idx="24">
                  <c:v>912</c:v>
                </c:pt>
                <c:pt idx="25">
                  <c:v>1001</c:v>
                </c:pt>
                <c:pt idx="26">
                  <c:v>1002</c:v>
                </c:pt>
                <c:pt idx="27">
                  <c:v>1003</c:v>
                </c:pt>
                <c:pt idx="28">
                  <c:v>1004</c:v>
                </c:pt>
                <c:pt idx="29">
                  <c:v>1005</c:v>
                </c:pt>
                <c:pt idx="30">
                  <c:v>1006</c:v>
                </c:pt>
                <c:pt idx="31">
                  <c:v>1007</c:v>
                </c:pt>
                <c:pt idx="32">
                  <c:v>1008</c:v>
                </c:pt>
                <c:pt idx="33">
                  <c:v>1009</c:v>
                </c:pt>
                <c:pt idx="34">
                  <c:v>1010</c:v>
                </c:pt>
                <c:pt idx="35">
                  <c:v>1011</c:v>
                </c:pt>
                <c:pt idx="36">
                  <c:v>1012</c:v>
                </c:pt>
                <c:pt idx="37">
                  <c:v>1101</c:v>
                </c:pt>
                <c:pt idx="38">
                  <c:v>1102</c:v>
                </c:pt>
                <c:pt idx="39">
                  <c:v>1103</c:v>
                </c:pt>
                <c:pt idx="40">
                  <c:v>1104</c:v>
                </c:pt>
                <c:pt idx="41">
                  <c:v>1105</c:v>
                </c:pt>
                <c:pt idx="42">
                  <c:v>1106</c:v>
                </c:pt>
                <c:pt idx="43">
                  <c:v>1107</c:v>
                </c:pt>
                <c:pt idx="44">
                  <c:v>1108</c:v>
                </c:pt>
                <c:pt idx="45">
                  <c:v>1109</c:v>
                </c:pt>
                <c:pt idx="46">
                  <c:v>1110</c:v>
                </c:pt>
                <c:pt idx="47">
                  <c:v>1111</c:v>
                </c:pt>
                <c:pt idx="48">
                  <c:v>1112</c:v>
                </c:pt>
                <c:pt idx="49">
                  <c:v>1201</c:v>
                </c:pt>
                <c:pt idx="50">
                  <c:v>1202</c:v>
                </c:pt>
                <c:pt idx="51">
                  <c:v>1203</c:v>
                </c:pt>
                <c:pt idx="52">
                  <c:v>1204</c:v>
                </c:pt>
                <c:pt idx="53">
                  <c:v>1205</c:v>
                </c:pt>
                <c:pt idx="54">
                  <c:v>1206</c:v>
                </c:pt>
                <c:pt idx="55">
                  <c:v>1207</c:v>
                </c:pt>
                <c:pt idx="56">
                  <c:v>1208</c:v>
                </c:pt>
                <c:pt idx="57">
                  <c:v>1209</c:v>
                </c:pt>
                <c:pt idx="58">
                  <c:v>1210</c:v>
                </c:pt>
                <c:pt idx="59">
                  <c:v>1211</c:v>
                </c:pt>
                <c:pt idx="60">
                  <c:v>1212</c:v>
                </c:pt>
                <c:pt idx="61">
                  <c:v>1301</c:v>
                </c:pt>
                <c:pt idx="62">
                  <c:v>1302</c:v>
                </c:pt>
                <c:pt idx="63">
                  <c:v>1303</c:v>
                </c:pt>
                <c:pt idx="64">
                  <c:v>1304</c:v>
                </c:pt>
                <c:pt idx="65">
                  <c:v>1305</c:v>
                </c:pt>
                <c:pt idx="66">
                  <c:v>1306</c:v>
                </c:pt>
                <c:pt idx="67">
                  <c:v>1307</c:v>
                </c:pt>
                <c:pt idx="68">
                  <c:v>1308</c:v>
                </c:pt>
                <c:pt idx="69">
                  <c:v>1309</c:v>
                </c:pt>
                <c:pt idx="70">
                  <c:v>1310</c:v>
                </c:pt>
                <c:pt idx="71">
                  <c:v>1311</c:v>
                </c:pt>
                <c:pt idx="72">
                  <c:v>1312</c:v>
                </c:pt>
                <c:pt idx="73">
                  <c:v>1401</c:v>
                </c:pt>
                <c:pt idx="74">
                  <c:v>1402</c:v>
                </c:pt>
                <c:pt idx="75">
                  <c:v>1403</c:v>
                </c:pt>
                <c:pt idx="76">
                  <c:v>1404</c:v>
                </c:pt>
                <c:pt idx="77">
                  <c:v>1405</c:v>
                </c:pt>
                <c:pt idx="78">
                  <c:v>1406</c:v>
                </c:pt>
                <c:pt idx="79">
                  <c:v>1407</c:v>
                </c:pt>
                <c:pt idx="80">
                  <c:v>1408</c:v>
                </c:pt>
                <c:pt idx="81">
                  <c:v>1409</c:v>
                </c:pt>
                <c:pt idx="82">
                  <c:v>1410</c:v>
                </c:pt>
                <c:pt idx="83">
                  <c:v>1411</c:v>
                </c:pt>
                <c:pt idx="84">
                  <c:v>1412</c:v>
                </c:pt>
                <c:pt idx="85">
                  <c:v>1501</c:v>
                </c:pt>
                <c:pt idx="86">
                  <c:v>1502</c:v>
                </c:pt>
                <c:pt idx="87">
                  <c:v>1503</c:v>
                </c:pt>
                <c:pt idx="88">
                  <c:v>1504</c:v>
                </c:pt>
                <c:pt idx="89">
                  <c:v>1505</c:v>
                </c:pt>
                <c:pt idx="90">
                  <c:v>1506</c:v>
                </c:pt>
                <c:pt idx="91">
                  <c:v>1507</c:v>
                </c:pt>
                <c:pt idx="92">
                  <c:v>1508</c:v>
                </c:pt>
                <c:pt idx="93">
                  <c:v>1509</c:v>
                </c:pt>
                <c:pt idx="94">
                  <c:v>1510</c:v>
                </c:pt>
                <c:pt idx="95">
                  <c:v>1511</c:v>
                </c:pt>
                <c:pt idx="96">
                  <c:v>1512</c:v>
                </c:pt>
                <c:pt idx="97">
                  <c:v>1601</c:v>
                </c:pt>
                <c:pt idx="98">
                  <c:v>1602</c:v>
                </c:pt>
                <c:pt idx="99">
                  <c:v>1603</c:v>
                </c:pt>
                <c:pt idx="100">
                  <c:v>1604</c:v>
                </c:pt>
                <c:pt idx="101">
                  <c:v>1605</c:v>
                </c:pt>
                <c:pt idx="102">
                  <c:v>1606</c:v>
                </c:pt>
                <c:pt idx="103">
                  <c:v>1607</c:v>
                </c:pt>
                <c:pt idx="104">
                  <c:v>1608</c:v>
                </c:pt>
                <c:pt idx="105">
                  <c:v>1609</c:v>
                </c:pt>
                <c:pt idx="106">
                  <c:v>1610</c:v>
                </c:pt>
                <c:pt idx="107">
                  <c:v>1611</c:v>
                </c:pt>
                <c:pt idx="108">
                  <c:v>1612</c:v>
                </c:pt>
                <c:pt idx="109">
                  <c:v>1701</c:v>
                </c:pt>
                <c:pt idx="110">
                  <c:v>1702</c:v>
                </c:pt>
                <c:pt idx="111">
                  <c:v>1703</c:v>
                </c:pt>
                <c:pt idx="112">
                  <c:v>1704</c:v>
                </c:pt>
                <c:pt idx="113">
                  <c:v>1705</c:v>
                </c:pt>
                <c:pt idx="114">
                  <c:v>1706</c:v>
                </c:pt>
                <c:pt idx="115">
                  <c:v>1707</c:v>
                </c:pt>
                <c:pt idx="116">
                  <c:v>1708</c:v>
                </c:pt>
                <c:pt idx="117">
                  <c:v>1709</c:v>
                </c:pt>
                <c:pt idx="118">
                  <c:v>1710</c:v>
                </c:pt>
                <c:pt idx="119">
                  <c:v>1711</c:v>
                </c:pt>
                <c:pt idx="120">
                  <c:v>1712</c:v>
                </c:pt>
                <c:pt idx="121">
                  <c:v>1801</c:v>
                </c:pt>
                <c:pt idx="122">
                  <c:v>1802</c:v>
                </c:pt>
                <c:pt idx="123">
                  <c:v>1803</c:v>
                </c:pt>
                <c:pt idx="124">
                  <c:v>1804</c:v>
                </c:pt>
                <c:pt idx="125">
                  <c:v>1805</c:v>
                </c:pt>
                <c:pt idx="126">
                  <c:v>1806</c:v>
                </c:pt>
                <c:pt idx="127">
                  <c:v>1807</c:v>
                </c:pt>
                <c:pt idx="128">
                  <c:v>1808</c:v>
                </c:pt>
                <c:pt idx="129">
                  <c:v>1809</c:v>
                </c:pt>
                <c:pt idx="130">
                  <c:v>1810</c:v>
                </c:pt>
                <c:pt idx="131">
                  <c:v>1811</c:v>
                </c:pt>
                <c:pt idx="132">
                  <c:v>1812</c:v>
                </c:pt>
                <c:pt idx="133">
                  <c:v>1901</c:v>
                </c:pt>
                <c:pt idx="134">
                  <c:v>1902</c:v>
                </c:pt>
              </c:numCache>
            </c:numRef>
          </c:cat>
          <c:val>
            <c:numRef>
              <c:f>'[副本内参190306用图.xlsx]服务业6-12月均与上证'!$O$2:$O$136</c:f>
              <c:numCache>
                <c:formatCode>General</c:formatCode>
                <c:ptCount val="135"/>
                <c:pt idx="0">
                  <c:v>5261.56</c:v>
                </c:pt>
                <c:pt idx="1">
                  <c:v>4383.39</c:v>
                </c:pt>
                <c:pt idx="2">
                  <c:v>4348.54</c:v>
                </c:pt>
                <c:pt idx="3">
                  <c:v>3472.71</c:v>
                </c:pt>
                <c:pt idx="4">
                  <c:v>3693.11</c:v>
                </c:pt>
                <c:pt idx="5">
                  <c:v>3433.35</c:v>
                </c:pt>
                <c:pt idx="6">
                  <c:v>2736.1</c:v>
                </c:pt>
                <c:pt idx="7">
                  <c:v>2775.72</c:v>
                </c:pt>
                <c:pt idx="8">
                  <c:v>2397.37</c:v>
                </c:pt>
                <c:pt idx="9">
                  <c:v>2293.78</c:v>
                </c:pt>
                <c:pt idx="10">
                  <c:v>1728.79</c:v>
                </c:pt>
                <c:pt idx="11">
                  <c:v>1871.16</c:v>
                </c:pt>
                <c:pt idx="12">
                  <c:v>1820.81</c:v>
                </c:pt>
                <c:pt idx="13">
                  <c:v>1990.66</c:v>
                </c:pt>
                <c:pt idx="14">
                  <c:v>2082.85</c:v>
                </c:pt>
                <c:pt idx="15">
                  <c:v>2373.21</c:v>
                </c:pt>
                <c:pt idx="16">
                  <c:v>2477.57</c:v>
                </c:pt>
                <c:pt idx="17">
                  <c:v>2632.93</c:v>
                </c:pt>
                <c:pt idx="18">
                  <c:v>2959.36</c:v>
                </c:pt>
                <c:pt idx="19">
                  <c:v>3412.06</c:v>
                </c:pt>
                <c:pt idx="20">
                  <c:v>2667.75</c:v>
                </c:pt>
                <c:pt idx="21">
                  <c:v>2779.43</c:v>
                </c:pt>
                <c:pt idx="22">
                  <c:v>2995.85</c:v>
                </c:pt>
                <c:pt idx="23">
                  <c:v>3195.3</c:v>
                </c:pt>
                <c:pt idx="24">
                  <c:v>3277.14</c:v>
                </c:pt>
                <c:pt idx="25">
                  <c:v>2989.29</c:v>
                </c:pt>
                <c:pt idx="26">
                  <c:v>3051.94</c:v>
                </c:pt>
                <c:pt idx="27">
                  <c:v>3109.1</c:v>
                </c:pt>
                <c:pt idx="28">
                  <c:v>2870.61</c:v>
                </c:pt>
                <c:pt idx="29">
                  <c:v>2592.15</c:v>
                </c:pt>
                <c:pt idx="30">
                  <c:v>2398.37</c:v>
                </c:pt>
                <c:pt idx="31">
                  <c:v>2637.5</c:v>
                </c:pt>
                <c:pt idx="32">
                  <c:v>2638.8</c:v>
                </c:pt>
                <c:pt idx="33">
                  <c:v>2655.66</c:v>
                </c:pt>
                <c:pt idx="34">
                  <c:v>2978.83</c:v>
                </c:pt>
                <c:pt idx="35">
                  <c:v>2820.18</c:v>
                </c:pt>
                <c:pt idx="36">
                  <c:v>2808.08</c:v>
                </c:pt>
                <c:pt idx="37">
                  <c:v>2790.69</c:v>
                </c:pt>
                <c:pt idx="38">
                  <c:v>2905.05</c:v>
                </c:pt>
                <c:pt idx="39">
                  <c:v>2928.11</c:v>
                </c:pt>
                <c:pt idx="40">
                  <c:v>2911.51</c:v>
                </c:pt>
                <c:pt idx="41">
                  <c:v>2743.47</c:v>
                </c:pt>
                <c:pt idx="42">
                  <c:v>2762.08</c:v>
                </c:pt>
                <c:pt idx="43">
                  <c:v>2701.73</c:v>
                </c:pt>
                <c:pt idx="44">
                  <c:v>2567.34</c:v>
                </c:pt>
                <c:pt idx="45">
                  <c:v>2359.22</c:v>
                </c:pt>
                <c:pt idx="46">
                  <c:v>2468.25</c:v>
                </c:pt>
                <c:pt idx="47">
                  <c:v>2333.41</c:v>
                </c:pt>
                <c:pt idx="48">
                  <c:v>2199.42</c:v>
                </c:pt>
                <c:pt idx="49">
                  <c:v>2292.61</c:v>
                </c:pt>
                <c:pt idx="50">
                  <c:v>2428.49</c:v>
                </c:pt>
                <c:pt idx="51">
                  <c:v>2262.79</c:v>
                </c:pt>
                <c:pt idx="52">
                  <c:v>2396.32</c:v>
                </c:pt>
                <c:pt idx="53">
                  <c:v>2372.23</c:v>
                </c:pt>
                <c:pt idx="54">
                  <c:v>2225.43</c:v>
                </c:pt>
                <c:pt idx="55">
                  <c:v>2103.63</c:v>
                </c:pt>
                <c:pt idx="56">
                  <c:v>2047.52</c:v>
                </c:pt>
                <c:pt idx="57">
                  <c:v>2086.17</c:v>
                </c:pt>
                <c:pt idx="58">
                  <c:v>2068.88</c:v>
                </c:pt>
                <c:pt idx="59">
                  <c:v>1980.12</c:v>
                </c:pt>
                <c:pt idx="60">
                  <c:v>2269.13</c:v>
                </c:pt>
                <c:pt idx="61">
                  <c:v>2385.42</c:v>
                </c:pt>
                <c:pt idx="62">
                  <c:v>2365.59</c:v>
                </c:pt>
                <c:pt idx="63">
                  <c:v>2236.62</c:v>
                </c:pt>
                <c:pt idx="64">
                  <c:v>2177.91</c:v>
                </c:pt>
                <c:pt idx="65">
                  <c:v>2300.6</c:v>
                </c:pt>
                <c:pt idx="66">
                  <c:v>1979.21</c:v>
                </c:pt>
                <c:pt idx="67">
                  <c:v>1993.8</c:v>
                </c:pt>
                <c:pt idx="68">
                  <c:v>2098.38</c:v>
                </c:pt>
                <c:pt idx="69">
                  <c:v>2174.67</c:v>
                </c:pt>
                <c:pt idx="70">
                  <c:v>2141.61</c:v>
                </c:pt>
                <c:pt idx="71">
                  <c:v>2220.5</c:v>
                </c:pt>
                <c:pt idx="72">
                  <c:v>2115.98</c:v>
                </c:pt>
                <c:pt idx="73">
                  <c:v>2033.08</c:v>
                </c:pt>
                <c:pt idx="74">
                  <c:v>2056.3</c:v>
                </c:pt>
                <c:pt idx="75">
                  <c:v>2033.31</c:v>
                </c:pt>
                <c:pt idx="76">
                  <c:v>2026.36</c:v>
                </c:pt>
                <c:pt idx="77">
                  <c:v>2039.21</c:v>
                </c:pt>
                <c:pt idx="78">
                  <c:v>2048.33</c:v>
                </c:pt>
                <c:pt idx="79">
                  <c:v>2201.56</c:v>
                </c:pt>
                <c:pt idx="80">
                  <c:v>2217.2</c:v>
                </c:pt>
                <c:pt idx="81">
                  <c:v>2363.87</c:v>
                </c:pt>
                <c:pt idx="82">
                  <c:v>2420.18</c:v>
                </c:pt>
                <c:pt idx="83">
                  <c:v>2682.83</c:v>
                </c:pt>
                <c:pt idx="84">
                  <c:v>3234.68</c:v>
                </c:pt>
                <c:pt idx="85">
                  <c:v>3210.36</c:v>
                </c:pt>
                <c:pt idx="86">
                  <c:v>3310.3</c:v>
                </c:pt>
                <c:pt idx="87">
                  <c:v>3747.9</c:v>
                </c:pt>
                <c:pt idx="88">
                  <c:v>4441.66</c:v>
                </c:pt>
                <c:pt idx="89">
                  <c:v>4611.74</c:v>
                </c:pt>
                <c:pt idx="90">
                  <c:v>4277.22</c:v>
                </c:pt>
                <c:pt idx="91">
                  <c:v>3663.73</c:v>
                </c:pt>
                <c:pt idx="92">
                  <c:v>3205.99</c:v>
                </c:pt>
                <c:pt idx="93">
                  <c:v>3052.78</c:v>
                </c:pt>
                <c:pt idx="94">
                  <c:v>3382.56</c:v>
                </c:pt>
                <c:pt idx="95">
                  <c:v>3445.4</c:v>
                </c:pt>
                <c:pt idx="96">
                  <c:v>3539.18</c:v>
                </c:pt>
                <c:pt idx="97">
                  <c:v>2737.6</c:v>
                </c:pt>
                <c:pt idx="98">
                  <c:v>2687.98</c:v>
                </c:pt>
                <c:pt idx="99">
                  <c:v>3003.92</c:v>
                </c:pt>
                <c:pt idx="100">
                  <c:v>2938.32</c:v>
                </c:pt>
                <c:pt idx="101">
                  <c:v>2916.62</c:v>
                </c:pt>
                <c:pt idx="102">
                  <c:v>2929.61</c:v>
                </c:pt>
                <c:pt idx="103">
                  <c:v>2979.34</c:v>
                </c:pt>
                <c:pt idx="104">
                  <c:v>3085.49</c:v>
                </c:pt>
                <c:pt idx="105">
                  <c:v>3004.7</c:v>
                </c:pt>
                <c:pt idx="106">
                  <c:v>3100.49</c:v>
                </c:pt>
                <c:pt idx="107">
                  <c:v>3250.03</c:v>
                </c:pt>
                <c:pt idx="108">
                  <c:v>3103.64</c:v>
                </c:pt>
                <c:pt idx="109">
                  <c:v>3159.17</c:v>
                </c:pt>
                <c:pt idx="110">
                  <c:v>3241.73</c:v>
                </c:pt>
                <c:pt idx="111">
                  <c:v>3222.51</c:v>
                </c:pt>
                <c:pt idx="112">
                  <c:v>3154.66</c:v>
                </c:pt>
                <c:pt idx="113">
                  <c:v>3117.18</c:v>
                </c:pt>
                <c:pt idx="114">
                  <c:v>3192.43</c:v>
                </c:pt>
                <c:pt idx="115">
                  <c:v>3273.03</c:v>
                </c:pt>
                <c:pt idx="116">
                  <c:v>3360.81</c:v>
                </c:pt>
                <c:pt idx="117">
                  <c:v>3348.94</c:v>
                </c:pt>
                <c:pt idx="118">
                  <c:v>3393.34</c:v>
                </c:pt>
                <c:pt idx="119">
                  <c:v>3317.19</c:v>
                </c:pt>
                <c:pt idx="120">
                  <c:v>3307.17</c:v>
                </c:pt>
                <c:pt idx="121">
                  <c:v>3480.83</c:v>
                </c:pt>
                <c:pt idx="122">
                  <c:v>3259.41</c:v>
                </c:pt>
                <c:pt idx="123">
                  <c:v>3168.9</c:v>
                </c:pt>
                <c:pt idx="124">
                  <c:v>3082.23</c:v>
                </c:pt>
                <c:pt idx="125">
                  <c:v>3095.47</c:v>
                </c:pt>
                <c:pt idx="126">
                  <c:v>2847.42</c:v>
                </c:pt>
                <c:pt idx="127">
                  <c:v>2876.4</c:v>
                </c:pt>
                <c:pt idx="128">
                  <c:v>2725.25</c:v>
                </c:pt>
                <c:pt idx="129">
                  <c:v>2821.35</c:v>
                </c:pt>
                <c:pt idx="130">
                  <c:v>2602.78</c:v>
                </c:pt>
                <c:pt idx="131">
                  <c:v>2588.19</c:v>
                </c:pt>
                <c:pt idx="132">
                  <c:v>2493.9</c:v>
                </c:pt>
                <c:pt idx="133">
                  <c:v>2584.57</c:v>
                </c:pt>
                <c:pt idx="134">
                  <c:v>2618.23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6657152"/>
        <c:axId val="266654848"/>
      </c:lineChart>
      <c:catAx>
        <c:axId val="2655932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5594752"/>
        <c:crosses val="autoZero"/>
        <c:auto val="1"/>
        <c:lblAlgn val="ctr"/>
        <c:lblOffset val="100"/>
        <c:noMultiLvlLbl val="0"/>
      </c:catAx>
      <c:valAx>
        <c:axId val="26559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5593216"/>
        <c:crosses val="autoZero"/>
        <c:crossBetween val="between"/>
      </c:valAx>
      <c:catAx>
        <c:axId val="26665715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6654848"/>
        <c:crosses val="autoZero"/>
        <c:auto val="1"/>
        <c:lblAlgn val="ctr"/>
        <c:lblOffset val="100"/>
        <c:noMultiLvlLbl val="0"/>
      </c:catAx>
      <c:valAx>
        <c:axId val="266654848"/>
        <c:scaling>
          <c:orientation val="minMax"/>
          <c:max val="5000"/>
          <c:min val="-1000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6657152"/>
        <c:crosses val="max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44884076990376"/>
          <c:y val="0.0647338874307381"/>
          <c:w val="0.802856517935258"/>
          <c:h val="0.661091790609512"/>
        </c:manualLayout>
      </c:layout>
      <c:lineChart>
        <c:grouping val="standard"/>
        <c:varyColors val="0"/>
        <c:ser>
          <c:idx val="1"/>
          <c:order val="1"/>
          <c:tx>
            <c:strRef>
              <c:f>'[副本内参190306用图.xlsx]服务业6-12月均与上证'!$L$1</c:f>
              <c:strCache>
                <c:ptCount val="1"/>
                <c:pt idx="0">
                  <c:v>PMIq-居民服务-状况(12月移)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'[副本内参190306用图.xlsx]服务业6-12月均与上证'!$J$2:$J$136</c:f>
              <c:numCache>
                <c:formatCode>General</c:formatCode>
                <c:ptCount val="135"/>
                <c:pt idx="0">
                  <c:v>712</c:v>
                </c:pt>
                <c:pt idx="1">
                  <c:v>801</c:v>
                </c:pt>
                <c:pt idx="2">
                  <c:v>802</c:v>
                </c:pt>
                <c:pt idx="3">
                  <c:v>803</c:v>
                </c:pt>
                <c:pt idx="4">
                  <c:v>804</c:v>
                </c:pt>
                <c:pt idx="5">
                  <c:v>805</c:v>
                </c:pt>
                <c:pt idx="6">
                  <c:v>806</c:v>
                </c:pt>
                <c:pt idx="7">
                  <c:v>807</c:v>
                </c:pt>
                <c:pt idx="8">
                  <c:v>808</c:v>
                </c:pt>
                <c:pt idx="9">
                  <c:v>809</c:v>
                </c:pt>
                <c:pt idx="10">
                  <c:v>810</c:v>
                </c:pt>
                <c:pt idx="11">
                  <c:v>811</c:v>
                </c:pt>
                <c:pt idx="12">
                  <c:v>812</c:v>
                </c:pt>
                <c:pt idx="13">
                  <c:v>901</c:v>
                </c:pt>
                <c:pt idx="14">
                  <c:v>902</c:v>
                </c:pt>
                <c:pt idx="15">
                  <c:v>903</c:v>
                </c:pt>
                <c:pt idx="16">
                  <c:v>904</c:v>
                </c:pt>
                <c:pt idx="17">
                  <c:v>905</c:v>
                </c:pt>
                <c:pt idx="18">
                  <c:v>906</c:v>
                </c:pt>
                <c:pt idx="19">
                  <c:v>907</c:v>
                </c:pt>
                <c:pt idx="20">
                  <c:v>908</c:v>
                </c:pt>
                <c:pt idx="21">
                  <c:v>909</c:v>
                </c:pt>
                <c:pt idx="22">
                  <c:v>910</c:v>
                </c:pt>
                <c:pt idx="23">
                  <c:v>911</c:v>
                </c:pt>
                <c:pt idx="24">
                  <c:v>912</c:v>
                </c:pt>
                <c:pt idx="25">
                  <c:v>1001</c:v>
                </c:pt>
                <c:pt idx="26">
                  <c:v>1002</c:v>
                </c:pt>
                <c:pt idx="27">
                  <c:v>1003</c:v>
                </c:pt>
                <c:pt idx="28">
                  <c:v>1004</c:v>
                </c:pt>
                <c:pt idx="29">
                  <c:v>1005</c:v>
                </c:pt>
                <c:pt idx="30">
                  <c:v>1006</c:v>
                </c:pt>
                <c:pt idx="31">
                  <c:v>1007</c:v>
                </c:pt>
                <c:pt idx="32">
                  <c:v>1008</c:v>
                </c:pt>
                <c:pt idx="33">
                  <c:v>1009</c:v>
                </c:pt>
                <c:pt idx="34">
                  <c:v>1010</c:v>
                </c:pt>
                <c:pt idx="35">
                  <c:v>1011</c:v>
                </c:pt>
                <c:pt idx="36">
                  <c:v>1012</c:v>
                </c:pt>
                <c:pt idx="37">
                  <c:v>1101</c:v>
                </c:pt>
                <c:pt idx="38">
                  <c:v>1102</c:v>
                </c:pt>
                <c:pt idx="39">
                  <c:v>1103</c:v>
                </c:pt>
                <c:pt idx="40">
                  <c:v>1104</c:v>
                </c:pt>
                <c:pt idx="41">
                  <c:v>1105</c:v>
                </c:pt>
                <c:pt idx="42">
                  <c:v>1106</c:v>
                </c:pt>
                <c:pt idx="43">
                  <c:v>1107</c:v>
                </c:pt>
                <c:pt idx="44">
                  <c:v>1108</c:v>
                </c:pt>
                <c:pt idx="45">
                  <c:v>1109</c:v>
                </c:pt>
                <c:pt idx="46">
                  <c:v>1110</c:v>
                </c:pt>
                <c:pt idx="47">
                  <c:v>1111</c:v>
                </c:pt>
                <c:pt idx="48">
                  <c:v>1112</c:v>
                </c:pt>
                <c:pt idx="49">
                  <c:v>1201</c:v>
                </c:pt>
                <c:pt idx="50">
                  <c:v>1202</c:v>
                </c:pt>
                <c:pt idx="51">
                  <c:v>1203</c:v>
                </c:pt>
                <c:pt idx="52">
                  <c:v>1204</c:v>
                </c:pt>
                <c:pt idx="53">
                  <c:v>1205</c:v>
                </c:pt>
                <c:pt idx="54">
                  <c:v>1206</c:v>
                </c:pt>
                <c:pt idx="55">
                  <c:v>1207</c:v>
                </c:pt>
                <c:pt idx="56">
                  <c:v>1208</c:v>
                </c:pt>
                <c:pt idx="57">
                  <c:v>1209</c:v>
                </c:pt>
                <c:pt idx="58">
                  <c:v>1210</c:v>
                </c:pt>
                <c:pt idx="59">
                  <c:v>1211</c:v>
                </c:pt>
                <c:pt idx="60">
                  <c:v>1212</c:v>
                </c:pt>
                <c:pt idx="61">
                  <c:v>1301</c:v>
                </c:pt>
                <c:pt idx="62">
                  <c:v>1302</c:v>
                </c:pt>
                <c:pt idx="63">
                  <c:v>1303</c:v>
                </c:pt>
                <c:pt idx="64">
                  <c:v>1304</c:v>
                </c:pt>
                <c:pt idx="65">
                  <c:v>1305</c:v>
                </c:pt>
                <c:pt idx="66">
                  <c:v>1306</c:v>
                </c:pt>
                <c:pt idx="67">
                  <c:v>1307</c:v>
                </c:pt>
                <c:pt idx="68">
                  <c:v>1308</c:v>
                </c:pt>
                <c:pt idx="69">
                  <c:v>1309</c:v>
                </c:pt>
                <c:pt idx="70">
                  <c:v>1310</c:v>
                </c:pt>
                <c:pt idx="71">
                  <c:v>1311</c:v>
                </c:pt>
                <c:pt idx="72">
                  <c:v>1312</c:v>
                </c:pt>
                <c:pt idx="73">
                  <c:v>1401</c:v>
                </c:pt>
                <c:pt idx="74">
                  <c:v>1402</c:v>
                </c:pt>
                <c:pt idx="75">
                  <c:v>1403</c:v>
                </c:pt>
                <c:pt idx="76">
                  <c:v>1404</c:v>
                </c:pt>
                <c:pt idx="77">
                  <c:v>1405</c:v>
                </c:pt>
                <c:pt idx="78">
                  <c:v>1406</c:v>
                </c:pt>
                <c:pt idx="79">
                  <c:v>1407</c:v>
                </c:pt>
                <c:pt idx="80">
                  <c:v>1408</c:v>
                </c:pt>
                <c:pt idx="81">
                  <c:v>1409</c:v>
                </c:pt>
                <c:pt idx="82">
                  <c:v>1410</c:v>
                </c:pt>
                <c:pt idx="83">
                  <c:v>1411</c:v>
                </c:pt>
                <c:pt idx="84">
                  <c:v>1412</c:v>
                </c:pt>
                <c:pt idx="85">
                  <c:v>1501</c:v>
                </c:pt>
                <c:pt idx="86">
                  <c:v>1502</c:v>
                </c:pt>
                <c:pt idx="87">
                  <c:v>1503</c:v>
                </c:pt>
                <c:pt idx="88">
                  <c:v>1504</c:v>
                </c:pt>
                <c:pt idx="89">
                  <c:v>1505</c:v>
                </c:pt>
                <c:pt idx="90">
                  <c:v>1506</c:v>
                </c:pt>
                <c:pt idx="91">
                  <c:v>1507</c:v>
                </c:pt>
                <c:pt idx="92">
                  <c:v>1508</c:v>
                </c:pt>
                <c:pt idx="93">
                  <c:v>1509</c:v>
                </c:pt>
                <c:pt idx="94">
                  <c:v>1510</c:v>
                </c:pt>
                <c:pt idx="95">
                  <c:v>1511</c:v>
                </c:pt>
                <c:pt idx="96">
                  <c:v>1512</c:v>
                </c:pt>
                <c:pt idx="97">
                  <c:v>1601</c:v>
                </c:pt>
                <c:pt idx="98">
                  <c:v>1602</c:v>
                </c:pt>
                <c:pt idx="99">
                  <c:v>1603</c:v>
                </c:pt>
                <c:pt idx="100">
                  <c:v>1604</c:v>
                </c:pt>
                <c:pt idx="101">
                  <c:v>1605</c:v>
                </c:pt>
                <c:pt idx="102">
                  <c:v>1606</c:v>
                </c:pt>
                <c:pt idx="103">
                  <c:v>1607</c:v>
                </c:pt>
                <c:pt idx="104">
                  <c:v>1608</c:v>
                </c:pt>
                <c:pt idx="105">
                  <c:v>1609</c:v>
                </c:pt>
                <c:pt idx="106">
                  <c:v>1610</c:v>
                </c:pt>
                <c:pt idx="107">
                  <c:v>1611</c:v>
                </c:pt>
                <c:pt idx="108">
                  <c:v>1612</c:v>
                </c:pt>
                <c:pt idx="109">
                  <c:v>1701</c:v>
                </c:pt>
                <c:pt idx="110">
                  <c:v>1702</c:v>
                </c:pt>
                <c:pt idx="111">
                  <c:v>1703</c:v>
                </c:pt>
                <c:pt idx="112">
                  <c:v>1704</c:v>
                </c:pt>
                <c:pt idx="113">
                  <c:v>1705</c:v>
                </c:pt>
                <c:pt idx="114">
                  <c:v>1706</c:v>
                </c:pt>
                <c:pt idx="115">
                  <c:v>1707</c:v>
                </c:pt>
                <c:pt idx="116">
                  <c:v>1708</c:v>
                </c:pt>
                <c:pt idx="117">
                  <c:v>1709</c:v>
                </c:pt>
                <c:pt idx="118">
                  <c:v>1710</c:v>
                </c:pt>
                <c:pt idx="119">
                  <c:v>1711</c:v>
                </c:pt>
                <c:pt idx="120">
                  <c:v>1712</c:v>
                </c:pt>
                <c:pt idx="121">
                  <c:v>1801</c:v>
                </c:pt>
                <c:pt idx="122">
                  <c:v>1802</c:v>
                </c:pt>
                <c:pt idx="123">
                  <c:v>1803</c:v>
                </c:pt>
                <c:pt idx="124">
                  <c:v>1804</c:v>
                </c:pt>
                <c:pt idx="125">
                  <c:v>1805</c:v>
                </c:pt>
                <c:pt idx="126">
                  <c:v>1806</c:v>
                </c:pt>
                <c:pt idx="127">
                  <c:v>1807</c:v>
                </c:pt>
                <c:pt idx="128">
                  <c:v>1808</c:v>
                </c:pt>
                <c:pt idx="129">
                  <c:v>1809</c:v>
                </c:pt>
                <c:pt idx="130">
                  <c:v>1810</c:v>
                </c:pt>
                <c:pt idx="131">
                  <c:v>1811</c:v>
                </c:pt>
                <c:pt idx="132">
                  <c:v>1812</c:v>
                </c:pt>
                <c:pt idx="133">
                  <c:v>1901</c:v>
                </c:pt>
                <c:pt idx="134">
                  <c:v>1902</c:v>
                </c:pt>
              </c:numCache>
            </c:numRef>
          </c:cat>
          <c:val>
            <c:numRef>
              <c:f>'[副本内参190306用图.xlsx]服务业6-12月均与上证'!$L$2:$L$136</c:f>
              <c:numCache>
                <c:formatCode>General</c:formatCode>
                <c:ptCount val="135"/>
                <c:pt idx="0">
                  <c:v>53.17</c:v>
                </c:pt>
                <c:pt idx="1">
                  <c:v>53.41</c:v>
                </c:pt>
                <c:pt idx="2">
                  <c:v>53.62</c:v>
                </c:pt>
                <c:pt idx="3">
                  <c:v>53.94</c:v>
                </c:pt>
                <c:pt idx="4">
                  <c:v>53.5</c:v>
                </c:pt>
                <c:pt idx="5">
                  <c:v>54.84</c:v>
                </c:pt>
                <c:pt idx="6">
                  <c:v>55.27</c:v>
                </c:pt>
                <c:pt idx="7">
                  <c:v>55.8</c:v>
                </c:pt>
                <c:pt idx="8">
                  <c:v>56.01</c:v>
                </c:pt>
                <c:pt idx="9">
                  <c:v>55.64</c:v>
                </c:pt>
                <c:pt idx="10">
                  <c:v>55.92</c:v>
                </c:pt>
                <c:pt idx="11">
                  <c:v>55.01</c:v>
                </c:pt>
                <c:pt idx="12">
                  <c:v>54.07</c:v>
                </c:pt>
                <c:pt idx="13">
                  <c:v>53.23</c:v>
                </c:pt>
                <c:pt idx="14">
                  <c:v>53.08</c:v>
                </c:pt>
                <c:pt idx="15">
                  <c:v>52.86</c:v>
                </c:pt>
                <c:pt idx="16">
                  <c:v>52.87</c:v>
                </c:pt>
                <c:pt idx="17">
                  <c:v>51.73</c:v>
                </c:pt>
                <c:pt idx="18">
                  <c:v>51.19</c:v>
                </c:pt>
                <c:pt idx="19">
                  <c:v>50.01</c:v>
                </c:pt>
                <c:pt idx="20">
                  <c:v>49.39</c:v>
                </c:pt>
                <c:pt idx="21">
                  <c:v>49.6</c:v>
                </c:pt>
                <c:pt idx="22">
                  <c:v>49.59</c:v>
                </c:pt>
                <c:pt idx="23">
                  <c:v>51.17</c:v>
                </c:pt>
                <c:pt idx="24">
                  <c:v>51.84</c:v>
                </c:pt>
                <c:pt idx="25">
                  <c:v>53.5</c:v>
                </c:pt>
                <c:pt idx="26">
                  <c:v>54.03</c:v>
                </c:pt>
                <c:pt idx="27">
                  <c:v>54.45</c:v>
                </c:pt>
                <c:pt idx="28">
                  <c:v>55.07</c:v>
                </c:pt>
                <c:pt idx="29">
                  <c:v>55.75</c:v>
                </c:pt>
                <c:pt idx="30">
                  <c:v>56.69</c:v>
                </c:pt>
                <c:pt idx="31">
                  <c:v>57.15</c:v>
                </c:pt>
                <c:pt idx="32">
                  <c:v>57.83</c:v>
                </c:pt>
                <c:pt idx="33">
                  <c:v>57.84</c:v>
                </c:pt>
                <c:pt idx="34">
                  <c:v>57.68</c:v>
                </c:pt>
                <c:pt idx="35">
                  <c:v>58.34</c:v>
                </c:pt>
                <c:pt idx="36">
                  <c:v>59.48</c:v>
                </c:pt>
                <c:pt idx="37">
                  <c:v>58.23</c:v>
                </c:pt>
                <c:pt idx="38">
                  <c:v>58.91</c:v>
                </c:pt>
                <c:pt idx="39">
                  <c:v>59.06</c:v>
                </c:pt>
                <c:pt idx="40">
                  <c:v>59.11</c:v>
                </c:pt>
                <c:pt idx="41">
                  <c:v>58.87</c:v>
                </c:pt>
                <c:pt idx="42">
                  <c:v>58.39</c:v>
                </c:pt>
                <c:pt idx="43">
                  <c:v>58.66</c:v>
                </c:pt>
                <c:pt idx="44">
                  <c:v>58.47</c:v>
                </c:pt>
                <c:pt idx="45">
                  <c:v>58.35</c:v>
                </c:pt>
                <c:pt idx="46">
                  <c:v>58.42</c:v>
                </c:pt>
                <c:pt idx="47">
                  <c:v>58.13</c:v>
                </c:pt>
                <c:pt idx="48">
                  <c:v>57.8</c:v>
                </c:pt>
                <c:pt idx="49">
                  <c:v>57.73</c:v>
                </c:pt>
                <c:pt idx="50">
                  <c:v>57.17</c:v>
                </c:pt>
                <c:pt idx="51">
                  <c:v>57.02</c:v>
                </c:pt>
                <c:pt idx="52">
                  <c:v>56.68</c:v>
                </c:pt>
                <c:pt idx="53">
                  <c:v>56.96</c:v>
                </c:pt>
                <c:pt idx="54">
                  <c:v>56.66</c:v>
                </c:pt>
                <c:pt idx="55">
                  <c:v>56.31</c:v>
                </c:pt>
                <c:pt idx="56">
                  <c:v>55.22</c:v>
                </c:pt>
                <c:pt idx="57">
                  <c:v>54.36</c:v>
                </c:pt>
                <c:pt idx="58">
                  <c:v>54.8</c:v>
                </c:pt>
                <c:pt idx="59">
                  <c:v>53.69</c:v>
                </c:pt>
                <c:pt idx="60">
                  <c:v>53.08</c:v>
                </c:pt>
                <c:pt idx="61">
                  <c:v>52.87</c:v>
                </c:pt>
                <c:pt idx="62">
                  <c:v>50.28</c:v>
                </c:pt>
                <c:pt idx="63">
                  <c:v>50.73</c:v>
                </c:pt>
                <c:pt idx="64">
                  <c:v>50.02</c:v>
                </c:pt>
                <c:pt idx="65">
                  <c:v>49.28</c:v>
                </c:pt>
                <c:pt idx="66">
                  <c:v>49.19</c:v>
                </c:pt>
                <c:pt idx="67">
                  <c:v>47.85</c:v>
                </c:pt>
                <c:pt idx="68">
                  <c:v>47.03</c:v>
                </c:pt>
                <c:pt idx="69">
                  <c:v>47.27</c:v>
                </c:pt>
                <c:pt idx="70">
                  <c:v>46.85</c:v>
                </c:pt>
                <c:pt idx="71">
                  <c:v>46.26</c:v>
                </c:pt>
                <c:pt idx="72">
                  <c:v>46.27</c:v>
                </c:pt>
                <c:pt idx="73">
                  <c:v>45.84</c:v>
                </c:pt>
                <c:pt idx="74">
                  <c:v>46.6</c:v>
                </c:pt>
                <c:pt idx="75">
                  <c:v>45.64</c:v>
                </c:pt>
                <c:pt idx="76">
                  <c:v>45.33</c:v>
                </c:pt>
                <c:pt idx="77">
                  <c:v>45.68</c:v>
                </c:pt>
                <c:pt idx="78">
                  <c:v>45.41</c:v>
                </c:pt>
                <c:pt idx="79">
                  <c:v>45.68</c:v>
                </c:pt>
                <c:pt idx="80">
                  <c:v>45.81</c:v>
                </c:pt>
                <c:pt idx="81">
                  <c:v>46.05</c:v>
                </c:pt>
                <c:pt idx="82">
                  <c:v>45.65</c:v>
                </c:pt>
                <c:pt idx="83">
                  <c:v>46.43</c:v>
                </c:pt>
                <c:pt idx="84">
                  <c:v>46.64</c:v>
                </c:pt>
                <c:pt idx="85">
                  <c:v>47.73</c:v>
                </c:pt>
                <c:pt idx="86">
                  <c:v>48.56</c:v>
                </c:pt>
                <c:pt idx="87">
                  <c:v>48.38</c:v>
                </c:pt>
                <c:pt idx="88">
                  <c:v>48.78</c:v>
                </c:pt>
                <c:pt idx="89">
                  <c:v>48.91</c:v>
                </c:pt>
                <c:pt idx="90">
                  <c:v>48.85</c:v>
                </c:pt>
                <c:pt idx="91">
                  <c:v>48.98</c:v>
                </c:pt>
                <c:pt idx="92">
                  <c:v>50.16</c:v>
                </c:pt>
                <c:pt idx="93">
                  <c:v>49.91</c:v>
                </c:pt>
                <c:pt idx="94">
                  <c:v>49.81</c:v>
                </c:pt>
                <c:pt idx="95">
                  <c:v>49.57</c:v>
                </c:pt>
                <c:pt idx="96">
                  <c:v>49.25</c:v>
                </c:pt>
                <c:pt idx="97">
                  <c:v>48.82</c:v>
                </c:pt>
                <c:pt idx="98">
                  <c:v>47.79</c:v>
                </c:pt>
                <c:pt idx="99">
                  <c:v>46.94</c:v>
                </c:pt>
                <c:pt idx="100">
                  <c:v>46.56</c:v>
                </c:pt>
                <c:pt idx="101">
                  <c:v>45.88</c:v>
                </c:pt>
                <c:pt idx="102">
                  <c:v>45.5</c:v>
                </c:pt>
                <c:pt idx="103">
                  <c:v>45.44</c:v>
                </c:pt>
                <c:pt idx="104">
                  <c:v>44.26</c:v>
                </c:pt>
                <c:pt idx="105">
                  <c:v>43.79</c:v>
                </c:pt>
                <c:pt idx="106">
                  <c:v>43.73</c:v>
                </c:pt>
                <c:pt idx="107">
                  <c:v>44.32</c:v>
                </c:pt>
                <c:pt idx="108">
                  <c:v>43.5</c:v>
                </c:pt>
                <c:pt idx="109">
                  <c:v>42.88</c:v>
                </c:pt>
                <c:pt idx="110">
                  <c:v>42.65</c:v>
                </c:pt>
                <c:pt idx="111">
                  <c:v>42.61</c:v>
                </c:pt>
                <c:pt idx="112">
                  <c:v>42.84</c:v>
                </c:pt>
                <c:pt idx="113">
                  <c:v>44.08</c:v>
                </c:pt>
                <c:pt idx="114">
                  <c:v>44.59</c:v>
                </c:pt>
                <c:pt idx="115">
                  <c:v>45.4</c:v>
                </c:pt>
                <c:pt idx="116">
                  <c:v>46.24</c:v>
                </c:pt>
                <c:pt idx="117">
                  <c:v>46.21</c:v>
                </c:pt>
                <c:pt idx="118">
                  <c:v>46.75</c:v>
                </c:pt>
                <c:pt idx="119">
                  <c:v>45.6</c:v>
                </c:pt>
                <c:pt idx="120">
                  <c:v>45.89</c:v>
                </c:pt>
                <c:pt idx="121">
                  <c:v>46.13</c:v>
                </c:pt>
                <c:pt idx="122">
                  <c:v>46.07</c:v>
                </c:pt>
                <c:pt idx="123">
                  <c:v>46.73</c:v>
                </c:pt>
                <c:pt idx="124">
                  <c:v>47.34</c:v>
                </c:pt>
                <c:pt idx="125">
                  <c:v>47</c:v>
                </c:pt>
                <c:pt idx="126">
                  <c:v>46.97</c:v>
                </c:pt>
                <c:pt idx="127">
                  <c:v>46.88</c:v>
                </c:pt>
                <c:pt idx="128">
                  <c:v>47.25</c:v>
                </c:pt>
                <c:pt idx="129">
                  <c:v>47.75</c:v>
                </c:pt>
                <c:pt idx="130">
                  <c:v>47.64</c:v>
                </c:pt>
                <c:pt idx="131">
                  <c:v>47.85</c:v>
                </c:pt>
                <c:pt idx="132">
                  <c:v>47.97</c:v>
                </c:pt>
                <c:pt idx="133">
                  <c:v>48.11</c:v>
                </c:pt>
                <c:pt idx="134">
                  <c:v>48.11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'[副本内参190306用图.xlsx]服务业6-12月均与上证'!$M$1</c:f>
              <c:strCache>
                <c:ptCount val="1"/>
                <c:pt idx="0">
                  <c:v>PMIq住宿业-状况(12月移)</c:v>
                </c:pt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lumOff val="40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'[副本内参190306用图.xlsx]服务业6-12月均与上证'!$J$2:$J$136</c:f>
              <c:numCache>
                <c:formatCode>General</c:formatCode>
                <c:ptCount val="135"/>
                <c:pt idx="0">
                  <c:v>712</c:v>
                </c:pt>
                <c:pt idx="1">
                  <c:v>801</c:v>
                </c:pt>
                <c:pt idx="2">
                  <c:v>802</c:v>
                </c:pt>
                <c:pt idx="3">
                  <c:v>803</c:v>
                </c:pt>
                <c:pt idx="4">
                  <c:v>804</c:v>
                </c:pt>
                <c:pt idx="5">
                  <c:v>805</c:v>
                </c:pt>
                <c:pt idx="6">
                  <c:v>806</c:v>
                </c:pt>
                <c:pt idx="7">
                  <c:v>807</c:v>
                </c:pt>
                <c:pt idx="8">
                  <c:v>808</c:v>
                </c:pt>
                <c:pt idx="9">
                  <c:v>809</c:v>
                </c:pt>
                <c:pt idx="10">
                  <c:v>810</c:v>
                </c:pt>
                <c:pt idx="11">
                  <c:v>811</c:v>
                </c:pt>
                <c:pt idx="12">
                  <c:v>812</c:v>
                </c:pt>
                <c:pt idx="13">
                  <c:v>901</c:v>
                </c:pt>
                <c:pt idx="14">
                  <c:v>902</c:v>
                </c:pt>
                <c:pt idx="15">
                  <c:v>903</c:v>
                </c:pt>
                <c:pt idx="16">
                  <c:v>904</c:v>
                </c:pt>
                <c:pt idx="17">
                  <c:v>905</c:v>
                </c:pt>
                <c:pt idx="18">
                  <c:v>906</c:v>
                </c:pt>
                <c:pt idx="19">
                  <c:v>907</c:v>
                </c:pt>
                <c:pt idx="20">
                  <c:v>908</c:v>
                </c:pt>
                <c:pt idx="21">
                  <c:v>909</c:v>
                </c:pt>
                <c:pt idx="22">
                  <c:v>910</c:v>
                </c:pt>
                <c:pt idx="23">
                  <c:v>911</c:v>
                </c:pt>
                <c:pt idx="24">
                  <c:v>912</c:v>
                </c:pt>
                <c:pt idx="25">
                  <c:v>1001</c:v>
                </c:pt>
                <c:pt idx="26">
                  <c:v>1002</c:v>
                </c:pt>
                <c:pt idx="27">
                  <c:v>1003</c:v>
                </c:pt>
                <c:pt idx="28">
                  <c:v>1004</c:v>
                </c:pt>
                <c:pt idx="29">
                  <c:v>1005</c:v>
                </c:pt>
                <c:pt idx="30">
                  <c:v>1006</c:v>
                </c:pt>
                <c:pt idx="31">
                  <c:v>1007</c:v>
                </c:pt>
                <c:pt idx="32">
                  <c:v>1008</c:v>
                </c:pt>
                <c:pt idx="33">
                  <c:v>1009</c:v>
                </c:pt>
                <c:pt idx="34">
                  <c:v>1010</c:v>
                </c:pt>
                <c:pt idx="35">
                  <c:v>1011</c:v>
                </c:pt>
                <c:pt idx="36">
                  <c:v>1012</c:v>
                </c:pt>
                <c:pt idx="37">
                  <c:v>1101</c:v>
                </c:pt>
                <c:pt idx="38">
                  <c:v>1102</c:v>
                </c:pt>
                <c:pt idx="39">
                  <c:v>1103</c:v>
                </c:pt>
                <c:pt idx="40">
                  <c:v>1104</c:v>
                </c:pt>
                <c:pt idx="41">
                  <c:v>1105</c:v>
                </c:pt>
                <c:pt idx="42">
                  <c:v>1106</c:v>
                </c:pt>
                <c:pt idx="43">
                  <c:v>1107</c:v>
                </c:pt>
                <c:pt idx="44">
                  <c:v>1108</c:v>
                </c:pt>
                <c:pt idx="45">
                  <c:v>1109</c:v>
                </c:pt>
                <c:pt idx="46">
                  <c:v>1110</c:v>
                </c:pt>
                <c:pt idx="47">
                  <c:v>1111</c:v>
                </c:pt>
                <c:pt idx="48">
                  <c:v>1112</c:v>
                </c:pt>
                <c:pt idx="49">
                  <c:v>1201</c:v>
                </c:pt>
                <c:pt idx="50">
                  <c:v>1202</c:v>
                </c:pt>
                <c:pt idx="51">
                  <c:v>1203</c:v>
                </c:pt>
                <c:pt idx="52">
                  <c:v>1204</c:v>
                </c:pt>
                <c:pt idx="53">
                  <c:v>1205</c:v>
                </c:pt>
                <c:pt idx="54">
                  <c:v>1206</c:v>
                </c:pt>
                <c:pt idx="55">
                  <c:v>1207</c:v>
                </c:pt>
                <c:pt idx="56">
                  <c:v>1208</c:v>
                </c:pt>
                <c:pt idx="57">
                  <c:v>1209</c:v>
                </c:pt>
                <c:pt idx="58">
                  <c:v>1210</c:v>
                </c:pt>
                <c:pt idx="59">
                  <c:v>1211</c:v>
                </c:pt>
                <c:pt idx="60">
                  <c:v>1212</c:v>
                </c:pt>
                <c:pt idx="61">
                  <c:v>1301</c:v>
                </c:pt>
                <c:pt idx="62">
                  <c:v>1302</c:v>
                </c:pt>
                <c:pt idx="63">
                  <c:v>1303</c:v>
                </c:pt>
                <c:pt idx="64">
                  <c:v>1304</c:v>
                </c:pt>
                <c:pt idx="65">
                  <c:v>1305</c:v>
                </c:pt>
                <c:pt idx="66">
                  <c:v>1306</c:v>
                </c:pt>
                <c:pt idx="67">
                  <c:v>1307</c:v>
                </c:pt>
                <c:pt idx="68">
                  <c:v>1308</c:v>
                </c:pt>
                <c:pt idx="69">
                  <c:v>1309</c:v>
                </c:pt>
                <c:pt idx="70">
                  <c:v>1310</c:v>
                </c:pt>
                <c:pt idx="71">
                  <c:v>1311</c:v>
                </c:pt>
                <c:pt idx="72">
                  <c:v>1312</c:v>
                </c:pt>
                <c:pt idx="73">
                  <c:v>1401</c:v>
                </c:pt>
                <c:pt idx="74">
                  <c:v>1402</c:v>
                </c:pt>
                <c:pt idx="75">
                  <c:v>1403</c:v>
                </c:pt>
                <c:pt idx="76">
                  <c:v>1404</c:v>
                </c:pt>
                <c:pt idx="77">
                  <c:v>1405</c:v>
                </c:pt>
                <c:pt idx="78">
                  <c:v>1406</c:v>
                </c:pt>
                <c:pt idx="79">
                  <c:v>1407</c:v>
                </c:pt>
                <c:pt idx="80">
                  <c:v>1408</c:v>
                </c:pt>
                <c:pt idx="81">
                  <c:v>1409</c:v>
                </c:pt>
                <c:pt idx="82">
                  <c:v>1410</c:v>
                </c:pt>
                <c:pt idx="83">
                  <c:v>1411</c:v>
                </c:pt>
                <c:pt idx="84">
                  <c:v>1412</c:v>
                </c:pt>
                <c:pt idx="85">
                  <c:v>1501</c:v>
                </c:pt>
                <c:pt idx="86">
                  <c:v>1502</c:v>
                </c:pt>
                <c:pt idx="87">
                  <c:v>1503</c:v>
                </c:pt>
                <c:pt idx="88">
                  <c:v>1504</c:v>
                </c:pt>
                <c:pt idx="89">
                  <c:v>1505</c:v>
                </c:pt>
                <c:pt idx="90">
                  <c:v>1506</c:v>
                </c:pt>
                <c:pt idx="91">
                  <c:v>1507</c:v>
                </c:pt>
                <c:pt idx="92">
                  <c:v>1508</c:v>
                </c:pt>
                <c:pt idx="93">
                  <c:v>1509</c:v>
                </c:pt>
                <c:pt idx="94">
                  <c:v>1510</c:v>
                </c:pt>
                <c:pt idx="95">
                  <c:v>1511</c:v>
                </c:pt>
                <c:pt idx="96">
                  <c:v>1512</c:v>
                </c:pt>
                <c:pt idx="97">
                  <c:v>1601</c:v>
                </c:pt>
                <c:pt idx="98">
                  <c:v>1602</c:v>
                </c:pt>
                <c:pt idx="99">
                  <c:v>1603</c:v>
                </c:pt>
                <c:pt idx="100">
                  <c:v>1604</c:v>
                </c:pt>
                <c:pt idx="101">
                  <c:v>1605</c:v>
                </c:pt>
                <c:pt idx="102">
                  <c:v>1606</c:v>
                </c:pt>
                <c:pt idx="103">
                  <c:v>1607</c:v>
                </c:pt>
                <c:pt idx="104">
                  <c:v>1608</c:v>
                </c:pt>
                <c:pt idx="105">
                  <c:v>1609</c:v>
                </c:pt>
                <c:pt idx="106">
                  <c:v>1610</c:v>
                </c:pt>
                <c:pt idx="107">
                  <c:v>1611</c:v>
                </c:pt>
                <c:pt idx="108">
                  <c:v>1612</c:v>
                </c:pt>
                <c:pt idx="109">
                  <c:v>1701</c:v>
                </c:pt>
                <c:pt idx="110">
                  <c:v>1702</c:v>
                </c:pt>
                <c:pt idx="111">
                  <c:v>1703</c:v>
                </c:pt>
                <c:pt idx="112">
                  <c:v>1704</c:v>
                </c:pt>
                <c:pt idx="113">
                  <c:v>1705</c:v>
                </c:pt>
                <c:pt idx="114">
                  <c:v>1706</c:v>
                </c:pt>
                <c:pt idx="115">
                  <c:v>1707</c:v>
                </c:pt>
                <c:pt idx="116">
                  <c:v>1708</c:v>
                </c:pt>
                <c:pt idx="117">
                  <c:v>1709</c:v>
                </c:pt>
                <c:pt idx="118">
                  <c:v>1710</c:v>
                </c:pt>
                <c:pt idx="119">
                  <c:v>1711</c:v>
                </c:pt>
                <c:pt idx="120">
                  <c:v>1712</c:v>
                </c:pt>
                <c:pt idx="121">
                  <c:v>1801</c:v>
                </c:pt>
                <c:pt idx="122">
                  <c:v>1802</c:v>
                </c:pt>
                <c:pt idx="123">
                  <c:v>1803</c:v>
                </c:pt>
                <c:pt idx="124">
                  <c:v>1804</c:v>
                </c:pt>
                <c:pt idx="125">
                  <c:v>1805</c:v>
                </c:pt>
                <c:pt idx="126">
                  <c:v>1806</c:v>
                </c:pt>
                <c:pt idx="127">
                  <c:v>1807</c:v>
                </c:pt>
                <c:pt idx="128">
                  <c:v>1808</c:v>
                </c:pt>
                <c:pt idx="129">
                  <c:v>1809</c:v>
                </c:pt>
                <c:pt idx="130">
                  <c:v>1810</c:v>
                </c:pt>
                <c:pt idx="131">
                  <c:v>1811</c:v>
                </c:pt>
                <c:pt idx="132">
                  <c:v>1812</c:v>
                </c:pt>
                <c:pt idx="133">
                  <c:v>1901</c:v>
                </c:pt>
                <c:pt idx="134">
                  <c:v>1902</c:v>
                </c:pt>
              </c:numCache>
            </c:numRef>
          </c:cat>
          <c:val>
            <c:numRef>
              <c:f>'[副本内参190306用图.xlsx]服务业6-12月均与上证'!$M$2:$M$136</c:f>
              <c:numCache>
                <c:formatCode>General</c:formatCode>
                <c:ptCount val="135"/>
                <c:pt idx="0">
                  <c:v>56.02</c:v>
                </c:pt>
                <c:pt idx="1">
                  <c:v>56.47</c:v>
                </c:pt>
                <c:pt idx="2">
                  <c:v>55.53</c:v>
                </c:pt>
                <c:pt idx="3">
                  <c:v>54.93</c:v>
                </c:pt>
                <c:pt idx="4">
                  <c:v>55.74</c:v>
                </c:pt>
                <c:pt idx="5">
                  <c:v>54.4</c:v>
                </c:pt>
                <c:pt idx="6">
                  <c:v>54.11</c:v>
                </c:pt>
                <c:pt idx="7">
                  <c:v>54.1</c:v>
                </c:pt>
                <c:pt idx="8">
                  <c:v>52.96</c:v>
                </c:pt>
                <c:pt idx="9">
                  <c:v>51.77</c:v>
                </c:pt>
                <c:pt idx="10">
                  <c:v>50.96</c:v>
                </c:pt>
                <c:pt idx="11">
                  <c:v>50.74</c:v>
                </c:pt>
                <c:pt idx="12">
                  <c:v>49.59</c:v>
                </c:pt>
                <c:pt idx="13">
                  <c:v>49.55</c:v>
                </c:pt>
                <c:pt idx="14">
                  <c:v>49.14</c:v>
                </c:pt>
                <c:pt idx="15">
                  <c:v>49.75</c:v>
                </c:pt>
                <c:pt idx="16">
                  <c:v>48.7</c:v>
                </c:pt>
                <c:pt idx="17">
                  <c:v>48.87</c:v>
                </c:pt>
                <c:pt idx="18">
                  <c:v>48.63</c:v>
                </c:pt>
                <c:pt idx="19">
                  <c:v>48.13</c:v>
                </c:pt>
                <c:pt idx="20">
                  <c:v>48.78</c:v>
                </c:pt>
                <c:pt idx="21">
                  <c:v>50.15</c:v>
                </c:pt>
                <c:pt idx="22">
                  <c:v>49.52</c:v>
                </c:pt>
                <c:pt idx="23">
                  <c:v>49.26</c:v>
                </c:pt>
                <c:pt idx="24">
                  <c:v>49.39</c:v>
                </c:pt>
                <c:pt idx="25">
                  <c:v>48.85</c:v>
                </c:pt>
                <c:pt idx="26">
                  <c:v>47.78</c:v>
                </c:pt>
                <c:pt idx="27">
                  <c:v>48.41</c:v>
                </c:pt>
                <c:pt idx="28">
                  <c:v>49.17</c:v>
                </c:pt>
                <c:pt idx="29">
                  <c:v>50.02</c:v>
                </c:pt>
                <c:pt idx="30">
                  <c:v>51.2</c:v>
                </c:pt>
                <c:pt idx="31">
                  <c:v>52.02</c:v>
                </c:pt>
                <c:pt idx="32">
                  <c:v>53.16</c:v>
                </c:pt>
                <c:pt idx="33">
                  <c:v>52.98</c:v>
                </c:pt>
                <c:pt idx="34">
                  <c:v>54.33</c:v>
                </c:pt>
                <c:pt idx="35">
                  <c:v>54.08</c:v>
                </c:pt>
                <c:pt idx="36">
                  <c:v>53.19</c:v>
                </c:pt>
                <c:pt idx="37">
                  <c:v>53.65</c:v>
                </c:pt>
                <c:pt idx="38">
                  <c:v>53.52</c:v>
                </c:pt>
                <c:pt idx="39">
                  <c:v>54.8</c:v>
                </c:pt>
                <c:pt idx="40">
                  <c:v>55.27</c:v>
                </c:pt>
                <c:pt idx="41">
                  <c:v>54.86</c:v>
                </c:pt>
                <c:pt idx="42">
                  <c:v>54.63</c:v>
                </c:pt>
                <c:pt idx="43">
                  <c:v>54.29</c:v>
                </c:pt>
                <c:pt idx="44">
                  <c:v>54.44</c:v>
                </c:pt>
                <c:pt idx="45">
                  <c:v>53.69</c:v>
                </c:pt>
                <c:pt idx="46">
                  <c:v>53.19</c:v>
                </c:pt>
                <c:pt idx="47">
                  <c:v>52.9</c:v>
                </c:pt>
                <c:pt idx="48">
                  <c:v>53.53</c:v>
                </c:pt>
                <c:pt idx="49">
                  <c:v>52.97</c:v>
                </c:pt>
                <c:pt idx="50">
                  <c:v>54.9</c:v>
                </c:pt>
                <c:pt idx="51">
                  <c:v>53.48</c:v>
                </c:pt>
                <c:pt idx="52">
                  <c:v>53.2</c:v>
                </c:pt>
                <c:pt idx="53">
                  <c:v>52.62</c:v>
                </c:pt>
                <c:pt idx="54">
                  <c:v>51.6</c:v>
                </c:pt>
                <c:pt idx="55">
                  <c:v>50.93</c:v>
                </c:pt>
                <c:pt idx="56">
                  <c:v>51.02</c:v>
                </c:pt>
                <c:pt idx="57">
                  <c:v>52.6</c:v>
                </c:pt>
                <c:pt idx="58">
                  <c:v>52.4</c:v>
                </c:pt>
                <c:pt idx="59">
                  <c:v>53.35</c:v>
                </c:pt>
                <c:pt idx="60">
                  <c:v>53.36</c:v>
                </c:pt>
                <c:pt idx="61">
                  <c:v>52.78</c:v>
                </c:pt>
                <c:pt idx="62">
                  <c:v>51.4</c:v>
                </c:pt>
                <c:pt idx="63">
                  <c:v>50.72</c:v>
                </c:pt>
                <c:pt idx="64">
                  <c:v>50.33</c:v>
                </c:pt>
                <c:pt idx="65">
                  <c:v>51.21</c:v>
                </c:pt>
                <c:pt idx="66">
                  <c:v>51.21</c:v>
                </c:pt>
                <c:pt idx="67">
                  <c:v>52.11</c:v>
                </c:pt>
                <c:pt idx="68">
                  <c:v>51.1</c:v>
                </c:pt>
                <c:pt idx="69">
                  <c:v>49.85</c:v>
                </c:pt>
                <c:pt idx="70">
                  <c:v>49.63</c:v>
                </c:pt>
                <c:pt idx="71">
                  <c:v>48.75</c:v>
                </c:pt>
                <c:pt idx="72">
                  <c:v>48.44</c:v>
                </c:pt>
                <c:pt idx="73">
                  <c:v>48.37</c:v>
                </c:pt>
                <c:pt idx="74">
                  <c:v>49.09</c:v>
                </c:pt>
                <c:pt idx="75">
                  <c:v>50.72</c:v>
                </c:pt>
                <c:pt idx="76">
                  <c:v>50.37</c:v>
                </c:pt>
                <c:pt idx="77">
                  <c:v>51.21</c:v>
                </c:pt>
                <c:pt idx="78">
                  <c:v>49.95</c:v>
                </c:pt>
                <c:pt idx="79">
                  <c:v>49.97</c:v>
                </c:pt>
                <c:pt idx="80">
                  <c:v>50.31</c:v>
                </c:pt>
                <c:pt idx="81">
                  <c:v>49.75</c:v>
                </c:pt>
                <c:pt idx="82">
                  <c:v>50.83</c:v>
                </c:pt>
                <c:pt idx="83">
                  <c:v>50.99</c:v>
                </c:pt>
                <c:pt idx="84">
                  <c:v>50.7</c:v>
                </c:pt>
                <c:pt idx="85">
                  <c:v>51.66</c:v>
                </c:pt>
                <c:pt idx="86">
                  <c:v>50.76</c:v>
                </c:pt>
                <c:pt idx="87">
                  <c:v>50.09</c:v>
                </c:pt>
                <c:pt idx="88">
                  <c:v>49.74</c:v>
                </c:pt>
                <c:pt idx="89">
                  <c:v>49.58</c:v>
                </c:pt>
                <c:pt idx="90">
                  <c:v>51.19</c:v>
                </c:pt>
                <c:pt idx="91">
                  <c:v>50.93</c:v>
                </c:pt>
                <c:pt idx="92">
                  <c:v>51.49</c:v>
                </c:pt>
                <c:pt idx="93">
                  <c:v>52.77</c:v>
                </c:pt>
                <c:pt idx="94">
                  <c:v>52.4</c:v>
                </c:pt>
                <c:pt idx="95">
                  <c:v>52.18</c:v>
                </c:pt>
                <c:pt idx="96">
                  <c:v>52.84</c:v>
                </c:pt>
                <c:pt idx="97">
                  <c:v>53.01</c:v>
                </c:pt>
                <c:pt idx="98">
                  <c:v>53.36</c:v>
                </c:pt>
                <c:pt idx="99">
                  <c:v>53.65</c:v>
                </c:pt>
                <c:pt idx="100">
                  <c:v>55.2</c:v>
                </c:pt>
                <c:pt idx="101">
                  <c:v>54.72</c:v>
                </c:pt>
                <c:pt idx="102">
                  <c:v>55.3</c:v>
                </c:pt>
                <c:pt idx="103">
                  <c:v>55.53</c:v>
                </c:pt>
                <c:pt idx="104">
                  <c:v>54.88</c:v>
                </c:pt>
                <c:pt idx="105">
                  <c:v>53.96</c:v>
                </c:pt>
                <c:pt idx="106">
                  <c:v>52.99</c:v>
                </c:pt>
                <c:pt idx="107">
                  <c:v>54.23</c:v>
                </c:pt>
                <c:pt idx="108">
                  <c:v>54.92</c:v>
                </c:pt>
                <c:pt idx="109">
                  <c:v>55.24</c:v>
                </c:pt>
                <c:pt idx="110">
                  <c:v>56.4</c:v>
                </c:pt>
                <c:pt idx="111">
                  <c:v>55.34</c:v>
                </c:pt>
                <c:pt idx="112">
                  <c:v>54.4</c:v>
                </c:pt>
                <c:pt idx="113">
                  <c:v>54.99</c:v>
                </c:pt>
                <c:pt idx="114">
                  <c:v>55.26</c:v>
                </c:pt>
                <c:pt idx="115">
                  <c:v>55.67</c:v>
                </c:pt>
                <c:pt idx="116">
                  <c:v>54.8</c:v>
                </c:pt>
                <c:pt idx="117">
                  <c:v>54.64</c:v>
                </c:pt>
                <c:pt idx="118">
                  <c:v>54.77</c:v>
                </c:pt>
                <c:pt idx="119">
                  <c:v>53.6</c:v>
                </c:pt>
                <c:pt idx="120">
                  <c:v>53.73</c:v>
                </c:pt>
                <c:pt idx="121">
                  <c:v>53.15</c:v>
                </c:pt>
                <c:pt idx="122">
                  <c:v>53.2</c:v>
                </c:pt>
                <c:pt idx="123">
                  <c:v>52.97</c:v>
                </c:pt>
                <c:pt idx="124">
                  <c:v>53.35</c:v>
                </c:pt>
                <c:pt idx="125">
                  <c:v>53.33</c:v>
                </c:pt>
                <c:pt idx="126">
                  <c:v>53.52</c:v>
                </c:pt>
                <c:pt idx="127">
                  <c:v>53.65</c:v>
                </c:pt>
                <c:pt idx="128">
                  <c:v>54.64</c:v>
                </c:pt>
                <c:pt idx="129">
                  <c:v>54.71</c:v>
                </c:pt>
                <c:pt idx="130">
                  <c:v>54.56</c:v>
                </c:pt>
                <c:pt idx="131">
                  <c:v>55.1</c:v>
                </c:pt>
                <c:pt idx="132">
                  <c:v>54.91</c:v>
                </c:pt>
                <c:pt idx="133">
                  <c:v>55.46</c:v>
                </c:pt>
                <c:pt idx="134">
                  <c:v>55.41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61632"/>
        <c:axId val="268333824"/>
      </c:lineChart>
      <c:lineChart>
        <c:grouping val="standard"/>
        <c:varyColors val="0"/>
        <c:ser>
          <c:idx val="0"/>
          <c:order val="0"/>
          <c:tx>
            <c:strRef>
              <c:f>'[副本内参190306用图.xlsx]服务业6-12月均与上证'!$K$1</c:f>
              <c:strCache>
                <c:ptCount val="1"/>
                <c:pt idx="0">
                  <c:v>上证月线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'[副本内参190306用图.xlsx]服务业6-12月均与上证'!$J$2:$J$136</c:f>
              <c:numCache>
                <c:formatCode>General</c:formatCode>
                <c:ptCount val="135"/>
                <c:pt idx="0">
                  <c:v>712</c:v>
                </c:pt>
                <c:pt idx="1">
                  <c:v>801</c:v>
                </c:pt>
                <c:pt idx="2">
                  <c:v>802</c:v>
                </c:pt>
                <c:pt idx="3">
                  <c:v>803</c:v>
                </c:pt>
                <c:pt idx="4">
                  <c:v>804</c:v>
                </c:pt>
                <c:pt idx="5">
                  <c:v>805</c:v>
                </c:pt>
                <c:pt idx="6">
                  <c:v>806</c:v>
                </c:pt>
                <c:pt idx="7">
                  <c:v>807</c:v>
                </c:pt>
                <c:pt idx="8">
                  <c:v>808</c:v>
                </c:pt>
                <c:pt idx="9">
                  <c:v>809</c:v>
                </c:pt>
                <c:pt idx="10">
                  <c:v>810</c:v>
                </c:pt>
                <c:pt idx="11">
                  <c:v>811</c:v>
                </c:pt>
                <c:pt idx="12">
                  <c:v>812</c:v>
                </c:pt>
                <c:pt idx="13">
                  <c:v>901</c:v>
                </c:pt>
                <c:pt idx="14">
                  <c:v>902</c:v>
                </c:pt>
                <c:pt idx="15">
                  <c:v>903</c:v>
                </c:pt>
                <c:pt idx="16">
                  <c:v>904</c:v>
                </c:pt>
                <c:pt idx="17">
                  <c:v>905</c:v>
                </c:pt>
                <c:pt idx="18">
                  <c:v>906</c:v>
                </c:pt>
                <c:pt idx="19">
                  <c:v>907</c:v>
                </c:pt>
                <c:pt idx="20">
                  <c:v>908</c:v>
                </c:pt>
                <c:pt idx="21">
                  <c:v>909</c:v>
                </c:pt>
                <c:pt idx="22">
                  <c:v>910</c:v>
                </c:pt>
                <c:pt idx="23">
                  <c:v>911</c:v>
                </c:pt>
                <c:pt idx="24">
                  <c:v>912</c:v>
                </c:pt>
                <c:pt idx="25">
                  <c:v>1001</c:v>
                </c:pt>
                <c:pt idx="26">
                  <c:v>1002</c:v>
                </c:pt>
                <c:pt idx="27">
                  <c:v>1003</c:v>
                </c:pt>
                <c:pt idx="28">
                  <c:v>1004</c:v>
                </c:pt>
                <c:pt idx="29">
                  <c:v>1005</c:v>
                </c:pt>
                <c:pt idx="30">
                  <c:v>1006</c:v>
                </c:pt>
                <c:pt idx="31">
                  <c:v>1007</c:v>
                </c:pt>
                <c:pt idx="32">
                  <c:v>1008</c:v>
                </c:pt>
                <c:pt idx="33">
                  <c:v>1009</c:v>
                </c:pt>
                <c:pt idx="34">
                  <c:v>1010</c:v>
                </c:pt>
                <c:pt idx="35">
                  <c:v>1011</c:v>
                </c:pt>
                <c:pt idx="36">
                  <c:v>1012</c:v>
                </c:pt>
                <c:pt idx="37">
                  <c:v>1101</c:v>
                </c:pt>
                <c:pt idx="38">
                  <c:v>1102</c:v>
                </c:pt>
                <c:pt idx="39">
                  <c:v>1103</c:v>
                </c:pt>
                <c:pt idx="40">
                  <c:v>1104</c:v>
                </c:pt>
                <c:pt idx="41">
                  <c:v>1105</c:v>
                </c:pt>
                <c:pt idx="42">
                  <c:v>1106</c:v>
                </c:pt>
                <c:pt idx="43">
                  <c:v>1107</c:v>
                </c:pt>
                <c:pt idx="44">
                  <c:v>1108</c:v>
                </c:pt>
                <c:pt idx="45">
                  <c:v>1109</c:v>
                </c:pt>
                <c:pt idx="46">
                  <c:v>1110</c:v>
                </c:pt>
                <c:pt idx="47">
                  <c:v>1111</c:v>
                </c:pt>
                <c:pt idx="48">
                  <c:v>1112</c:v>
                </c:pt>
                <c:pt idx="49">
                  <c:v>1201</c:v>
                </c:pt>
                <c:pt idx="50">
                  <c:v>1202</c:v>
                </c:pt>
                <c:pt idx="51">
                  <c:v>1203</c:v>
                </c:pt>
                <c:pt idx="52">
                  <c:v>1204</c:v>
                </c:pt>
                <c:pt idx="53">
                  <c:v>1205</c:v>
                </c:pt>
                <c:pt idx="54">
                  <c:v>1206</c:v>
                </c:pt>
                <c:pt idx="55">
                  <c:v>1207</c:v>
                </c:pt>
                <c:pt idx="56">
                  <c:v>1208</c:v>
                </c:pt>
                <c:pt idx="57">
                  <c:v>1209</c:v>
                </c:pt>
                <c:pt idx="58">
                  <c:v>1210</c:v>
                </c:pt>
                <c:pt idx="59">
                  <c:v>1211</c:v>
                </c:pt>
                <c:pt idx="60">
                  <c:v>1212</c:v>
                </c:pt>
                <c:pt idx="61">
                  <c:v>1301</c:v>
                </c:pt>
                <c:pt idx="62">
                  <c:v>1302</c:v>
                </c:pt>
                <c:pt idx="63">
                  <c:v>1303</c:v>
                </c:pt>
                <c:pt idx="64">
                  <c:v>1304</c:v>
                </c:pt>
                <c:pt idx="65">
                  <c:v>1305</c:v>
                </c:pt>
                <c:pt idx="66">
                  <c:v>1306</c:v>
                </c:pt>
                <c:pt idx="67">
                  <c:v>1307</c:v>
                </c:pt>
                <c:pt idx="68">
                  <c:v>1308</c:v>
                </c:pt>
                <c:pt idx="69">
                  <c:v>1309</c:v>
                </c:pt>
                <c:pt idx="70">
                  <c:v>1310</c:v>
                </c:pt>
                <c:pt idx="71">
                  <c:v>1311</c:v>
                </c:pt>
                <c:pt idx="72">
                  <c:v>1312</c:v>
                </c:pt>
                <c:pt idx="73">
                  <c:v>1401</c:v>
                </c:pt>
                <c:pt idx="74">
                  <c:v>1402</c:v>
                </c:pt>
                <c:pt idx="75">
                  <c:v>1403</c:v>
                </c:pt>
                <c:pt idx="76">
                  <c:v>1404</c:v>
                </c:pt>
                <c:pt idx="77">
                  <c:v>1405</c:v>
                </c:pt>
                <c:pt idx="78">
                  <c:v>1406</c:v>
                </c:pt>
                <c:pt idx="79">
                  <c:v>1407</c:v>
                </c:pt>
                <c:pt idx="80">
                  <c:v>1408</c:v>
                </c:pt>
                <c:pt idx="81">
                  <c:v>1409</c:v>
                </c:pt>
                <c:pt idx="82">
                  <c:v>1410</c:v>
                </c:pt>
                <c:pt idx="83">
                  <c:v>1411</c:v>
                </c:pt>
                <c:pt idx="84">
                  <c:v>1412</c:v>
                </c:pt>
                <c:pt idx="85">
                  <c:v>1501</c:v>
                </c:pt>
                <c:pt idx="86">
                  <c:v>1502</c:v>
                </c:pt>
                <c:pt idx="87">
                  <c:v>1503</c:v>
                </c:pt>
                <c:pt idx="88">
                  <c:v>1504</c:v>
                </c:pt>
                <c:pt idx="89">
                  <c:v>1505</c:v>
                </c:pt>
                <c:pt idx="90">
                  <c:v>1506</c:v>
                </c:pt>
                <c:pt idx="91">
                  <c:v>1507</c:v>
                </c:pt>
                <c:pt idx="92">
                  <c:v>1508</c:v>
                </c:pt>
                <c:pt idx="93">
                  <c:v>1509</c:v>
                </c:pt>
                <c:pt idx="94">
                  <c:v>1510</c:v>
                </c:pt>
                <c:pt idx="95">
                  <c:v>1511</c:v>
                </c:pt>
                <c:pt idx="96">
                  <c:v>1512</c:v>
                </c:pt>
                <c:pt idx="97">
                  <c:v>1601</c:v>
                </c:pt>
                <c:pt idx="98">
                  <c:v>1602</c:v>
                </c:pt>
                <c:pt idx="99">
                  <c:v>1603</c:v>
                </c:pt>
                <c:pt idx="100">
                  <c:v>1604</c:v>
                </c:pt>
                <c:pt idx="101">
                  <c:v>1605</c:v>
                </c:pt>
                <c:pt idx="102">
                  <c:v>1606</c:v>
                </c:pt>
                <c:pt idx="103">
                  <c:v>1607</c:v>
                </c:pt>
                <c:pt idx="104">
                  <c:v>1608</c:v>
                </c:pt>
                <c:pt idx="105">
                  <c:v>1609</c:v>
                </c:pt>
                <c:pt idx="106">
                  <c:v>1610</c:v>
                </c:pt>
                <c:pt idx="107">
                  <c:v>1611</c:v>
                </c:pt>
                <c:pt idx="108">
                  <c:v>1612</c:v>
                </c:pt>
                <c:pt idx="109">
                  <c:v>1701</c:v>
                </c:pt>
                <c:pt idx="110">
                  <c:v>1702</c:v>
                </c:pt>
                <c:pt idx="111">
                  <c:v>1703</c:v>
                </c:pt>
                <c:pt idx="112">
                  <c:v>1704</c:v>
                </c:pt>
                <c:pt idx="113">
                  <c:v>1705</c:v>
                </c:pt>
                <c:pt idx="114">
                  <c:v>1706</c:v>
                </c:pt>
                <c:pt idx="115">
                  <c:v>1707</c:v>
                </c:pt>
                <c:pt idx="116">
                  <c:v>1708</c:v>
                </c:pt>
                <c:pt idx="117">
                  <c:v>1709</c:v>
                </c:pt>
                <c:pt idx="118">
                  <c:v>1710</c:v>
                </c:pt>
                <c:pt idx="119">
                  <c:v>1711</c:v>
                </c:pt>
                <c:pt idx="120">
                  <c:v>1712</c:v>
                </c:pt>
                <c:pt idx="121">
                  <c:v>1801</c:v>
                </c:pt>
                <c:pt idx="122">
                  <c:v>1802</c:v>
                </c:pt>
                <c:pt idx="123">
                  <c:v>1803</c:v>
                </c:pt>
                <c:pt idx="124">
                  <c:v>1804</c:v>
                </c:pt>
                <c:pt idx="125">
                  <c:v>1805</c:v>
                </c:pt>
                <c:pt idx="126">
                  <c:v>1806</c:v>
                </c:pt>
                <c:pt idx="127">
                  <c:v>1807</c:v>
                </c:pt>
                <c:pt idx="128">
                  <c:v>1808</c:v>
                </c:pt>
                <c:pt idx="129">
                  <c:v>1809</c:v>
                </c:pt>
                <c:pt idx="130">
                  <c:v>1810</c:v>
                </c:pt>
                <c:pt idx="131">
                  <c:v>1811</c:v>
                </c:pt>
                <c:pt idx="132">
                  <c:v>1812</c:v>
                </c:pt>
                <c:pt idx="133">
                  <c:v>1901</c:v>
                </c:pt>
                <c:pt idx="134">
                  <c:v>1902</c:v>
                </c:pt>
              </c:numCache>
            </c:numRef>
          </c:cat>
          <c:val>
            <c:numRef>
              <c:f>'[副本内参190306用图.xlsx]服务业6-12月均与上证'!$K$2:$K$136</c:f>
              <c:numCache>
                <c:formatCode>General</c:formatCode>
                <c:ptCount val="135"/>
                <c:pt idx="0">
                  <c:v>5261.56</c:v>
                </c:pt>
                <c:pt idx="1">
                  <c:v>4383.39</c:v>
                </c:pt>
                <c:pt idx="2">
                  <c:v>4348.54</c:v>
                </c:pt>
                <c:pt idx="3">
                  <c:v>3472.71</c:v>
                </c:pt>
                <c:pt idx="4">
                  <c:v>3693.11</c:v>
                </c:pt>
                <c:pt idx="5">
                  <c:v>3433.35</c:v>
                </c:pt>
                <c:pt idx="6">
                  <c:v>2736.1</c:v>
                </c:pt>
                <c:pt idx="7">
                  <c:v>2775.72</c:v>
                </c:pt>
                <c:pt idx="8">
                  <c:v>2397.37</c:v>
                </c:pt>
                <c:pt idx="9">
                  <c:v>2293.78</c:v>
                </c:pt>
                <c:pt idx="10">
                  <c:v>1728.79</c:v>
                </c:pt>
                <c:pt idx="11">
                  <c:v>1871.16</c:v>
                </c:pt>
                <c:pt idx="12">
                  <c:v>1820.81</c:v>
                </c:pt>
                <c:pt idx="13">
                  <c:v>1990.66</c:v>
                </c:pt>
                <c:pt idx="14">
                  <c:v>2082.85</c:v>
                </c:pt>
                <c:pt idx="15">
                  <c:v>2373.21</c:v>
                </c:pt>
                <c:pt idx="16">
                  <c:v>2477.57</c:v>
                </c:pt>
                <c:pt idx="17">
                  <c:v>2632.93</c:v>
                </c:pt>
                <c:pt idx="18">
                  <c:v>2959.36</c:v>
                </c:pt>
                <c:pt idx="19">
                  <c:v>3412.06</c:v>
                </c:pt>
                <c:pt idx="20">
                  <c:v>2667.75</c:v>
                </c:pt>
                <c:pt idx="21">
                  <c:v>2779.43</c:v>
                </c:pt>
                <c:pt idx="22">
                  <c:v>2995.85</c:v>
                </c:pt>
                <c:pt idx="23">
                  <c:v>3195.3</c:v>
                </c:pt>
                <c:pt idx="24">
                  <c:v>3277.14</c:v>
                </c:pt>
                <c:pt idx="25">
                  <c:v>2989.29</c:v>
                </c:pt>
                <c:pt idx="26">
                  <c:v>3051.94</c:v>
                </c:pt>
                <c:pt idx="27">
                  <c:v>3109.1</c:v>
                </c:pt>
                <c:pt idx="28">
                  <c:v>2870.61</c:v>
                </c:pt>
                <c:pt idx="29">
                  <c:v>2592.15</c:v>
                </c:pt>
                <c:pt idx="30">
                  <c:v>2398.37</c:v>
                </c:pt>
                <c:pt idx="31">
                  <c:v>2637.5</c:v>
                </c:pt>
                <c:pt idx="32">
                  <c:v>2638.8</c:v>
                </c:pt>
                <c:pt idx="33">
                  <c:v>2655.66</c:v>
                </c:pt>
                <c:pt idx="34">
                  <c:v>2978.83</c:v>
                </c:pt>
                <c:pt idx="35">
                  <c:v>2820.18</c:v>
                </c:pt>
                <c:pt idx="36">
                  <c:v>2808.08</c:v>
                </c:pt>
                <c:pt idx="37">
                  <c:v>2790.69</c:v>
                </c:pt>
                <c:pt idx="38">
                  <c:v>2905.05</c:v>
                </c:pt>
                <c:pt idx="39">
                  <c:v>2928.11</c:v>
                </c:pt>
                <c:pt idx="40">
                  <c:v>2911.51</c:v>
                </c:pt>
                <c:pt idx="41">
                  <c:v>2743.47</c:v>
                </c:pt>
                <c:pt idx="42">
                  <c:v>2762.08</c:v>
                </c:pt>
                <c:pt idx="43">
                  <c:v>2701.73</c:v>
                </c:pt>
                <c:pt idx="44">
                  <c:v>2567.34</c:v>
                </c:pt>
                <c:pt idx="45">
                  <c:v>2359.22</c:v>
                </c:pt>
                <c:pt idx="46">
                  <c:v>2468.25</c:v>
                </c:pt>
                <c:pt idx="47">
                  <c:v>2333.41</c:v>
                </c:pt>
                <c:pt idx="48">
                  <c:v>2199.42</c:v>
                </c:pt>
                <c:pt idx="49">
                  <c:v>2292.61</c:v>
                </c:pt>
                <c:pt idx="50">
                  <c:v>2428.49</c:v>
                </c:pt>
                <c:pt idx="51">
                  <c:v>2262.79</c:v>
                </c:pt>
                <c:pt idx="52">
                  <c:v>2396.32</c:v>
                </c:pt>
                <c:pt idx="53">
                  <c:v>2372.23</c:v>
                </c:pt>
                <c:pt idx="54">
                  <c:v>2225.43</c:v>
                </c:pt>
                <c:pt idx="55">
                  <c:v>2103.63</c:v>
                </c:pt>
                <c:pt idx="56">
                  <c:v>2047.52</c:v>
                </c:pt>
                <c:pt idx="57">
                  <c:v>2086.17</c:v>
                </c:pt>
                <c:pt idx="58">
                  <c:v>2068.88</c:v>
                </c:pt>
                <c:pt idx="59">
                  <c:v>1980.12</c:v>
                </c:pt>
                <c:pt idx="60">
                  <c:v>2269.13</c:v>
                </c:pt>
                <c:pt idx="61">
                  <c:v>2385.42</c:v>
                </c:pt>
                <c:pt idx="62">
                  <c:v>2365.59</c:v>
                </c:pt>
                <c:pt idx="63">
                  <c:v>2236.62</c:v>
                </c:pt>
                <c:pt idx="64">
                  <c:v>2177.91</c:v>
                </c:pt>
                <c:pt idx="65">
                  <c:v>2300.6</c:v>
                </c:pt>
                <c:pt idx="66">
                  <c:v>1979.21</c:v>
                </c:pt>
                <c:pt idx="67">
                  <c:v>1993.8</c:v>
                </c:pt>
                <c:pt idx="68">
                  <c:v>2098.38</c:v>
                </c:pt>
                <c:pt idx="69">
                  <c:v>2174.67</c:v>
                </c:pt>
                <c:pt idx="70">
                  <c:v>2141.61</c:v>
                </c:pt>
                <c:pt idx="71">
                  <c:v>2220.5</c:v>
                </c:pt>
                <c:pt idx="72">
                  <c:v>2115.98</c:v>
                </c:pt>
                <c:pt idx="73">
                  <c:v>2033.08</c:v>
                </c:pt>
                <c:pt idx="74">
                  <c:v>2056.3</c:v>
                </c:pt>
                <c:pt idx="75">
                  <c:v>2033.31</c:v>
                </c:pt>
                <c:pt idx="76">
                  <c:v>2026.36</c:v>
                </c:pt>
                <c:pt idx="77">
                  <c:v>2039.21</c:v>
                </c:pt>
                <c:pt idx="78">
                  <c:v>2048.33</c:v>
                </c:pt>
                <c:pt idx="79">
                  <c:v>2201.56</c:v>
                </c:pt>
                <c:pt idx="80">
                  <c:v>2217.2</c:v>
                </c:pt>
                <c:pt idx="81">
                  <c:v>2363.87</c:v>
                </c:pt>
                <c:pt idx="82">
                  <c:v>2420.18</c:v>
                </c:pt>
                <c:pt idx="83">
                  <c:v>2682.83</c:v>
                </c:pt>
                <c:pt idx="84">
                  <c:v>3234.68</c:v>
                </c:pt>
                <c:pt idx="85">
                  <c:v>3210.36</c:v>
                </c:pt>
                <c:pt idx="86">
                  <c:v>3310.3</c:v>
                </c:pt>
                <c:pt idx="87">
                  <c:v>3747.9</c:v>
                </c:pt>
                <c:pt idx="88">
                  <c:v>4441.66</c:v>
                </c:pt>
                <c:pt idx="89">
                  <c:v>4611.74</c:v>
                </c:pt>
                <c:pt idx="90">
                  <c:v>4277.22</c:v>
                </c:pt>
                <c:pt idx="91">
                  <c:v>3663.73</c:v>
                </c:pt>
                <c:pt idx="92">
                  <c:v>3205.99</c:v>
                </c:pt>
                <c:pt idx="93">
                  <c:v>3052.78</c:v>
                </c:pt>
                <c:pt idx="94">
                  <c:v>3382.56</c:v>
                </c:pt>
                <c:pt idx="95">
                  <c:v>3445.4</c:v>
                </c:pt>
                <c:pt idx="96">
                  <c:v>3539.18</c:v>
                </c:pt>
                <c:pt idx="97">
                  <c:v>2737.6</c:v>
                </c:pt>
                <c:pt idx="98">
                  <c:v>2687.98</c:v>
                </c:pt>
                <c:pt idx="99">
                  <c:v>3003.92</c:v>
                </c:pt>
                <c:pt idx="100">
                  <c:v>2938.32</c:v>
                </c:pt>
                <c:pt idx="101">
                  <c:v>2916.62</c:v>
                </c:pt>
                <c:pt idx="102">
                  <c:v>2929.61</c:v>
                </c:pt>
                <c:pt idx="103">
                  <c:v>2979.34</c:v>
                </c:pt>
                <c:pt idx="104">
                  <c:v>3085.49</c:v>
                </c:pt>
                <c:pt idx="105">
                  <c:v>3004.7</c:v>
                </c:pt>
                <c:pt idx="106">
                  <c:v>3100.49</c:v>
                </c:pt>
                <c:pt idx="107">
                  <c:v>3250.03</c:v>
                </c:pt>
                <c:pt idx="108">
                  <c:v>3103.64</c:v>
                </c:pt>
                <c:pt idx="109">
                  <c:v>3159.17</c:v>
                </c:pt>
                <c:pt idx="110">
                  <c:v>3241.73</c:v>
                </c:pt>
                <c:pt idx="111">
                  <c:v>3222.51</c:v>
                </c:pt>
                <c:pt idx="112">
                  <c:v>3154.66</c:v>
                </c:pt>
                <c:pt idx="113">
                  <c:v>3117.18</c:v>
                </c:pt>
                <c:pt idx="114">
                  <c:v>3192.43</c:v>
                </c:pt>
                <c:pt idx="115">
                  <c:v>3273.03</c:v>
                </c:pt>
                <c:pt idx="116">
                  <c:v>3360.81</c:v>
                </c:pt>
                <c:pt idx="117">
                  <c:v>3348.94</c:v>
                </c:pt>
                <c:pt idx="118">
                  <c:v>3393.34</c:v>
                </c:pt>
                <c:pt idx="119">
                  <c:v>3317.19</c:v>
                </c:pt>
                <c:pt idx="120">
                  <c:v>3307.17</c:v>
                </c:pt>
                <c:pt idx="121">
                  <c:v>3480.83</c:v>
                </c:pt>
                <c:pt idx="122">
                  <c:v>3259.41</c:v>
                </c:pt>
                <c:pt idx="123">
                  <c:v>3168.9</c:v>
                </c:pt>
                <c:pt idx="124">
                  <c:v>3082.23</c:v>
                </c:pt>
                <c:pt idx="125">
                  <c:v>3095.47</c:v>
                </c:pt>
                <c:pt idx="126">
                  <c:v>2847.42</c:v>
                </c:pt>
                <c:pt idx="127">
                  <c:v>2876.4</c:v>
                </c:pt>
                <c:pt idx="128">
                  <c:v>2725.25</c:v>
                </c:pt>
                <c:pt idx="129">
                  <c:v>2821.35</c:v>
                </c:pt>
                <c:pt idx="130">
                  <c:v>2602.78</c:v>
                </c:pt>
                <c:pt idx="131">
                  <c:v>2588.19</c:v>
                </c:pt>
                <c:pt idx="132">
                  <c:v>2493.9</c:v>
                </c:pt>
                <c:pt idx="133">
                  <c:v>2584.57</c:v>
                </c:pt>
                <c:pt idx="134">
                  <c:v>2618.23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72949632"/>
        <c:axId val="268335360"/>
      </c:lineChart>
      <c:catAx>
        <c:axId val="2682616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333824"/>
        <c:crosses val="autoZero"/>
        <c:auto val="1"/>
        <c:lblAlgn val="ctr"/>
        <c:lblOffset val="100"/>
        <c:noMultiLvlLbl val="0"/>
      </c:catAx>
      <c:valAx>
        <c:axId val="268333824"/>
        <c:scaling>
          <c:orientation val="minMax"/>
          <c:min val="4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35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61632"/>
        <c:crosses val="autoZero"/>
        <c:crossBetween val="between"/>
      </c:valAx>
      <c:catAx>
        <c:axId val="27294963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335360"/>
        <c:crosses val="autoZero"/>
        <c:auto val="1"/>
        <c:lblAlgn val="ctr"/>
        <c:lblOffset val="100"/>
        <c:noMultiLvlLbl val="0"/>
      </c:catAx>
      <c:valAx>
        <c:axId val="268335360"/>
        <c:scaling>
          <c:orientation val="minMax"/>
          <c:max val="6000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72949632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00608333333333337"/>
          <c:y val="0.876547098279384"/>
          <c:w val="0.968388888888889"/>
          <c:h val="0.095675123942840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778</Words>
  <Characters>4435</Characters>
  <Lines>36</Lines>
  <Paragraphs>10</Paragraphs>
  <TotalTime>14</TotalTime>
  <ScaleCrop>false</ScaleCrop>
  <LinksUpToDate>false</LinksUpToDate>
  <CharactersWithSpaces>5203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2019-03-07T08:17:00Z</dcterms:created>
  <dc:creator>微软用户</dc:creator>
  <cp:lastModifiedBy>阿童木在念咒</cp:lastModifiedBy>
  <dcterms:modified xsi:type="dcterms:W3CDTF">2019-03-08T08:41:29Z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